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531A" w14:textId="77777777" w:rsidR="002E53CB" w:rsidRPr="0056477B" w:rsidRDefault="002E53CB">
      <w:pPr>
        <w:spacing w:after="80"/>
        <w:rPr>
          <w:lang w:val="fr-FR"/>
        </w:rPr>
      </w:pPr>
    </w:p>
    <w:p w14:paraId="2BCDDD4B" w14:textId="77777777" w:rsidR="002E53CB" w:rsidRPr="0056477B" w:rsidRDefault="00000000">
      <w:pPr>
        <w:keepNext/>
        <w:spacing w:after="20" w:line="240" w:lineRule="auto"/>
        <w:rPr>
          <w:lang w:val="fr-FR"/>
        </w:rPr>
      </w:pPr>
      <w:r w:rsidRPr="0056477B">
        <w:rPr>
          <w:b/>
          <w:color w:val="2F2A78"/>
          <w:sz w:val="33"/>
          <w:lang w:val="fr-FR"/>
        </w:rPr>
        <w:t>Appel à manifestations d’intérêt</w:t>
      </w:r>
    </w:p>
    <w:p w14:paraId="13AF5FB7" w14:textId="77777777" w:rsidR="002E53CB" w:rsidRPr="0056477B" w:rsidRDefault="00000000">
      <w:pPr>
        <w:keepNext/>
        <w:spacing w:after="20" w:line="240" w:lineRule="auto"/>
        <w:rPr>
          <w:lang w:val="fr-FR"/>
        </w:rPr>
      </w:pPr>
      <w:r w:rsidRPr="0056477B">
        <w:rPr>
          <w:b/>
          <w:color w:val="2F2A78"/>
          <w:sz w:val="46"/>
          <w:lang w:val="fr-FR"/>
        </w:rPr>
        <w:t>Doctorat CIFRE 2026</w:t>
      </w:r>
    </w:p>
    <w:p w14:paraId="49F79E4F" w14:textId="3DE4D57B" w:rsidR="002E53CB" w:rsidRPr="0056477B" w:rsidRDefault="00000000">
      <w:pPr>
        <w:keepNext/>
        <w:spacing w:after="120" w:line="240" w:lineRule="auto"/>
        <w:rPr>
          <w:lang w:val="fr-FR"/>
        </w:rPr>
      </w:pPr>
      <w:r w:rsidRPr="0056477B">
        <w:rPr>
          <w:b/>
          <w:color w:val="D67D87"/>
          <w:sz w:val="30"/>
          <w:lang w:val="fr-FR"/>
        </w:rPr>
        <w:t>Données d’accès précoce en oncologie : probation de données extraites par IA</w:t>
      </w: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10092"/>
      </w:tblGrid>
      <w:tr w:rsidR="002E53CB" w:rsidRPr="0056477B" w14:paraId="654FBB04" w14:textId="77777777">
        <w:trPr>
          <w:cantSplit/>
          <w:jc w:val="center"/>
        </w:trPr>
        <w:tc>
          <w:tcPr>
            <w:tcW w:w="10092" w:type="dxa"/>
            <w:shd w:val="clear" w:color="auto" w:fill="D67D87"/>
            <w:tcMar>
              <w:top w:w="80" w:type="dxa"/>
              <w:left w:w="120" w:type="dxa"/>
              <w:bottom w:w="60" w:type="dxa"/>
              <w:right w:w="120" w:type="dxa"/>
            </w:tcMar>
            <w:vAlign w:val="center"/>
          </w:tcPr>
          <w:p w14:paraId="3B812AB2" w14:textId="77777777" w:rsidR="002E53CB" w:rsidRPr="0056477B" w:rsidRDefault="00000000">
            <w:pPr>
              <w:spacing w:after="0"/>
              <w:rPr>
                <w:lang w:val="fr-FR"/>
              </w:rPr>
            </w:pPr>
            <w:r w:rsidRPr="0056477B">
              <w:rPr>
                <w:b/>
                <w:color w:val="FFFFFF"/>
                <w:sz w:val="22"/>
                <w:lang w:val="fr-FR"/>
              </w:rPr>
              <w:t>Objet</w:t>
            </w:r>
          </w:p>
        </w:tc>
      </w:tr>
      <w:tr w:rsidR="002E53CB" w:rsidRPr="004812B4" w14:paraId="2FAB7899" w14:textId="77777777">
        <w:trPr>
          <w:cantSplit/>
          <w:jc w:val="center"/>
        </w:trPr>
        <w:tc>
          <w:tcPr>
            <w:tcW w:w="10092" w:type="dxa"/>
            <w:shd w:val="clear" w:color="auto" w:fill="F7E8EA"/>
            <w:tcMar>
              <w:top w:w="80" w:type="dxa"/>
              <w:left w:w="130" w:type="dxa"/>
              <w:bottom w:w="80" w:type="dxa"/>
              <w:right w:w="130" w:type="dxa"/>
            </w:tcMar>
            <w:vAlign w:val="center"/>
          </w:tcPr>
          <w:p w14:paraId="220B89A0" w14:textId="7F04F087" w:rsidR="002E53CB" w:rsidRPr="0056477B" w:rsidRDefault="00000000">
            <w:pPr>
              <w:spacing w:after="20" w:line="250" w:lineRule="auto"/>
              <w:rPr>
                <w:lang w:val="fr-FR"/>
              </w:rPr>
            </w:pPr>
            <w:r w:rsidRPr="0056477B">
              <w:rPr>
                <w:lang w:val="fr-FR"/>
              </w:rPr>
              <w:t xml:space="preserve">La </w:t>
            </w:r>
            <w:r w:rsidR="000A3731" w:rsidRPr="0056477B">
              <w:rPr>
                <w:lang w:val="fr-FR"/>
              </w:rPr>
              <w:t xml:space="preserve">Filière Intelligence Artificielle &amp; Cancers </w:t>
            </w:r>
            <w:r w:rsidRPr="0056477B">
              <w:rPr>
                <w:lang w:val="fr-FR"/>
              </w:rPr>
              <w:t>souhaite identifier un(e) doctorant(e), une équipe académique et une école doctorale pour porter une thèse CIFRE adossée au projet DANTE. Le cas français constituera le terrain principal, avec une mise en perspective européenne.</w:t>
            </w:r>
          </w:p>
        </w:tc>
      </w:tr>
    </w:tbl>
    <w:p w14:paraId="603E4545" w14:textId="77777777" w:rsidR="002E53CB" w:rsidRPr="0056477B" w:rsidRDefault="002E53CB">
      <w:pPr>
        <w:spacing w:after="40"/>
        <w:rPr>
          <w:lang w:val="fr-FR"/>
        </w:rPr>
      </w:pP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5046"/>
        <w:gridCol w:w="5046"/>
      </w:tblGrid>
      <w:tr w:rsidR="002E53CB" w:rsidRPr="004812B4" w14:paraId="519F8D66" w14:textId="77777777">
        <w:trPr>
          <w:jc w:val="center"/>
        </w:trPr>
        <w:tc>
          <w:tcPr>
            <w:tcW w:w="5046" w:type="dxa"/>
            <w:shd w:val="clear" w:color="auto" w:fill="FAF2F3"/>
            <w:tcMar>
              <w:top w:w="100" w:type="dxa"/>
              <w:left w:w="120" w:type="dxa"/>
              <w:bottom w:w="100" w:type="dxa"/>
              <w:right w:w="120" w:type="dxa"/>
            </w:tcMar>
            <w:vAlign w:val="center"/>
          </w:tcPr>
          <w:p w14:paraId="4FF4510A" w14:textId="0D30C560" w:rsidR="002E53CB" w:rsidRPr="0056477B" w:rsidRDefault="00000000">
            <w:pPr>
              <w:rPr>
                <w:lang w:val="fr-FR"/>
              </w:rPr>
            </w:pPr>
            <w:r w:rsidRPr="0056477B">
              <w:rPr>
                <w:b/>
                <w:color w:val="2F2A78"/>
                <w:sz w:val="23"/>
                <w:lang w:val="fr-FR"/>
              </w:rPr>
              <w:t xml:space="preserve">La </w:t>
            </w:r>
            <w:r w:rsidR="000A3731" w:rsidRPr="0056477B">
              <w:rPr>
                <w:b/>
                <w:color w:val="2F2A78"/>
                <w:sz w:val="23"/>
                <w:lang w:val="fr-FR"/>
              </w:rPr>
              <w:t>F</w:t>
            </w:r>
            <w:r w:rsidRPr="0056477B">
              <w:rPr>
                <w:b/>
                <w:color w:val="2F2A78"/>
                <w:sz w:val="23"/>
                <w:lang w:val="fr-FR"/>
              </w:rPr>
              <w:t>ilière</w:t>
            </w:r>
          </w:p>
          <w:p w14:paraId="6AD5D8D4" w14:textId="4E902082" w:rsidR="002E53CB" w:rsidRPr="0056477B" w:rsidRDefault="00000000">
            <w:pPr>
              <w:spacing w:after="40" w:line="252" w:lineRule="auto"/>
              <w:rPr>
                <w:lang w:val="fr-FR"/>
              </w:rPr>
            </w:pPr>
            <w:r w:rsidRPr="0056477B">
              <w:rPr>
                <w:lang w:val="fr-FR"/>
              </w:rPr>
              <w:t>La Filière Intelligence Artificielle &amp; Cancers</w:t>
            </w:r>
            <w:r w:rsidR="004812B4">
              <w:rPr>
                <w:lang w:val="fr-FR"/>
              </w:rPr>
              <w:t xml:space="preserve"> </w:t>
            </w:r>
            <w:r w:rsidRPr="0056477B">
              <w:rPr>
                <w:lang w:val="fr-FR"/>
              </w:rPr>
              <w:t>est un partenariat public-privé dédié à la transformation des données de santé en innovations tangibles pour les patients en cancérologie.</w:t>
            </w:r>
          </w:p>
          <w:p w14:paraId="28EC21F2" w14:textId="77777777" w:rsidR="002E53CB" w:rsidRPr="0056477B" w:rsidRDefault="00000000">
            <w:pPr>
              <w:spacing w:after="40" w:line="252" w:lineRule="auto"/>
              <w:rPr>
                <w:lang w:val="fr-FR"/>
              </w:rPr>
            </w:pPr>
            <w:r w:rsidRPr="0056477B">
              <w:rPr>
                <w:lang w:val="fr-FR"/>
              </w:rPr>
              <w:t>Son positionnement est de faire émerger des projets concrets à forte utilité clinique, méthodologique et organisationnelle, en articulation avec les enjeux de données, de qualité et d’industrialisation.</w:t>
            </w:r>
          </w:p>
          <w:p w14:paraId="05DF0E2B" w14:textId="77777777" w:rsidR="002E53CB" w:rsidRPr="0056477B" w:rsidRDefault="00000000">
            <w:pPr>
              <w:spacing w:after="40" w:line="252" w:lineRule="auto"/>
              <w:rPr>
                <w:lang w:val="fr-FR"/>
              </w:rPr>
            </w:pPr>
            <w:r w:rsidRPr="0056477B">
              <w:rPr>
                <w:lang w:val="fr-FR"/>
              </w:rPr>
              <w:t>Cette thèse s’inscrit au cœur de cette mission : produire une méthode, un outil et un guide de bonnes pratiques à partir d’un cas d’usage à fort impact.</w:t>
            </w:r>
          </w:p>
        </w:tc>
        <w:tc>
          <w:tcPr>
            <w:tcW w:w="5046" w:type="dxa"/>
            <w:shd w:val="clear" w:color="auto" w:fill="F6F7FB"/>
            <w:tcMar>
              <w:top w:w="100" w:type="dxa"/>
              <w:left w:w="120" w:type="dxa"/>
              <w:bottom w:w="100" w:type="dxa"/>
              <w:right w:w="120" w:type="dxa"/>
            </w:tcMar>
            <w:vAlign w:val="center"/>
          </w:tcPr>
          <w:p w14:paraId="592F4583" w14:textId="77777777" w:rsidR="002E53CB" w:rsidRPr="0056477B" w:rsidRDefault="00000000">
            <w:pPr>
              <w:rPr>
                <w:lang w:val="fr-FR"/>
              </w:rPr>
            </w:pPr>
            <w:r w:rsidRPr="0056477B">
              <w:rPr>
                <w:b/>
                <w:color w:val="2F2A78"/>
                <w:sz w:val="23"/>
                <w:lang w:val="fr-FR"/>
              </w:rPr>
              <w:t>Le projet DANTE</w:t>
            </w:r>
          </w:p>
          <w:p w14:paraId="058A8DC8" w14:textId="5A2918A0" w:rsidR="002E53CB" w:rsidRPr="0056477B" w:rsidRDefault="00000000">
            <w:pPr>
              <w:spacing w:after="40" w:line="252" w:lineRule="auto"/>
              <w:rPr>
                <w:lang w:val="fr-FR"/>
              </w:rPr>
            </w:pPr>
            <w:r w:rsidRPr="0056477B">
              <w:rPr>
                <w:b/>
                <w:color w:val="2F2A78"/>
                <w:lang w:val="fr-FR"/>
              </w:rPr>
              <w:t xml:space="preserve">Périmètre. </w:t>
            </w:r>
            <w:r w:rsidR="000A3731" w:rsidRPr="0056477B">
              <w:rPr>
                <w:lang w:val="fr-FR"/>
              </w:rPr>
              <w:t>Le projet « </w:t>
            </w:r>
            <w:r w:rsidRPr="0056477B">
              <w:rPr>
                <w:lang w:val="fr-FR"/>
              </w:rPr>
              <w:t>DANTE</w:t>
            </w:r>
            <w:r w:rsidR="000A3731" w:rsidRPr="0056477B">
              <w:rPr>
                <w:lang w:val="fr-FR"/>
              </w:rPr>
              <w:t> »</w:t>
            </w:r>
            <w:r w:rsidRPr="0056477B">
              <w:rPr>
                <w:lang w:val="fr-FR"/>
              </w:rPr>
              <w:t xml:space="preserve"> </w:t>
            </w:r>
            <w:r w:rsidR="00010632">
              <w:rPr>
                <w:lang w:val="fr-FR"/>
              </w:rPr>
              <w:t>(</w:t>
            </w:r>
            <w:hyperlink r:id="rId8" w:history="1">
              <w:r w:rsidR="00010632" w:rsidRPr="00010632">
                <w:rPr>
                  <w:rStyle w:val="Lienhypertexte"/>
                  <w:lang w:val="fr-FR"/>
                </w:rPr>
                <w:t>lien</w:t>
              </w:r>
            </w:hyperlink>
            <w:r w:rsidR="00010632">
              <w:rPr>
                <w:lang w:val="fr-FR"/>
              </w:rPr>
              <w:t xml:space="preserve">) </w:t>
            </w:r>
            <w:r w:rsidRPr="0056477B">
              <w:rPr>
                <w:lang w:val="fr-FR"/>
              </w:rPr>
              <w:t>évalue la qualité de données d’accès précoce recueillies manuellement vs</w:t>
            </w:r>
            <w:r w:rsidR="00010632">
              <w:rPr>
                <w:lang w:val="fr-FR"/>
              </w:rPr>
              <w:t xml:space="preserve"> celles</w:t>
            </w:r>
            <w:r w:rsidRPr="0056477B">
              <w:rPr>
                <w:lang w:val="fr-FR"/>
              </w:rPr>
              <w:t xml:space="preserve"> extraites par IA à partir des dossiers patients informatisés, en comparaison à une base de référence.</w:t>
            </w:r>
          </w:p>
          <w:p w14:paraId="2F6DE74E" w14:textId="49E9FF2B" w:rsidR="002E53CB" w:rsidRPr="0056477B" w:rsidRDefault="00000000">
            <w:pPr>
              <w:spacing w:after="40" w:line="252" w:lineRule="auto"/>
              <w:rPr>
                <w:lang w:val="fr-FR"/>
              </w:rPr>
            </w:pPr>
            <w:r w:rsidRPr="0056477B">
              <w:rPr>
                <w:b/>
                <w:color w:val="2F2A78"/>
                <w:lang w:val="fr-FR"/>
              </w:rPr>
              <w:t xml:space="preserve">Enjeu. </w:t>
            </w:r>
            <w:r w:rsidRPr="0056477B">
              <w:rPr>
                <w:lang w:val="fr-FR"/>
              </w:rPr>
              <w:t>Passer d’un recueil encore largement manuel et hétérogène à un recueil structuré, traçable et généralisable</w:t>
            </w:r>
            <w:r w:rsidR="00010632">
              <w:rPr>
                <w:lang w:val="fr-FR"/>
              </w:rPr>
              <w:t xml:space="preserve"> grâce à l’IA</w:t>
            </w:r>
            <w:r w:rsidRPr="0056477B">
              <w:rPr>
                <w:lang w:val="fr-FR"/>
              </w:rPr>
              <w:t>.</w:t>
            </w:r>
          </w:p>
          <w:p w14:paraId="264F7746" w14:textId="4B670BB3" w:rsidR="002E53CB" w:rsidRPr="0056477B" w:rsidRDefault="00000000">
            <w:pPr>
              <w:spacing w:after="40" w:line="252" w:lineRule="auto"/>
              <w:rPr>
                <w:lang w:val="fr-FR"/>
              </w:rPr>
            </w:pPr>
            <w:r w:rsidRPr="0056477B">
              <w:rPr>
                <w:b/>
                <w:color w:val="2F2A78"/>
                <w:lang w:val="fr-FR"/>
              </w:rPr>
              <w:t xml:space="preserve">Statut. </w:t>
            </w:r>
            <w:r w:rsidRPr="0056477B">
              <w:rPr>
                <w:lang w:val="fr-FR"/>
              </w:rPr>
              <w:t xml:space="preserve">Projet </w:t>
            </w:r>
            <w:r w:rsidR="004812B4">
              <w:rPr>
                <w:lang w:val="fr-FR"/>
              </w:rPr>
              <w:t xml:space="preserve">national </w:t>
            </w:r>
            <w:r w:rsidR="00085D77">
              <w:rPr>
                <w:lang w:val="fr-FR"/>
              </w:rPr>
              <w:t>au sein de la stratégie d’IA de la ministre de la santé</w:t>
            </w:r>
            <w:r w:rsidR="004812B4">
              <w:rPr>
                <w:lang w:val="fr-FR"/>
              </w:rPr>
              <w:t xml:space="preserve">, il a également été </w:t>
            </w:r>
            <w:r w:rsidRPr="0056477B">
              <w:rPr>
                <w:lang w:val="fr-FR"/>
              </w:rPr>
              <w:t xml:space="preserve">retenu dans le cadre de France 2030 </w:t>
            </w:r>
            <w:r w:rsidR="000A3731" w:rsidRPr="0056477B">
              <w:rPr>
                <w:lang w:val="fr-FR"/>
              </w:rPr>
              <w:t>« </w:t>
            </w:r>
            <w:r w:rsidRPr="0056477B">
              <w:rPr>
                <w:lang w:val="fr-FR"/>
              </w:rPr>
              <w:t xml:space="preserve">Nouvelles méthodologies de recherche clinique » ; le comité </w:t>
            </w:r>
            <w:r w:rsidR="000A3731" w:rsidRPr="0056477B">
              <w:rPr>
                <w:lang w:val="fr-FR"/>
              </w:rPr>
              <w:t xml:space="preserve">de sélection </w:t>
            </w:r>
            <w:r w:rsidRPr="0056477B">
              <w:rPr>
                <w:lang w:val="fr-FR"/>
              </w:rPr>
              <w:t>a souligné son caractère pragmatique, son ancrage réglementaire et son potentiel de généralisation.</w:t>
            </w:r>
          </w:p>
        </w:tc>
      </w:tr>
    </w:tbl>
    <w:p w14:paraId="71005B24" w14:textId="77777777" w:rsidR="002E53CB" w:rsidRPr="0056477B" w:rsidRDefault="00000000">
      <w:pPr>
        <w:keepNext/>
        <w:pBdr>
          <w:bottom w:val="single" w:sz="8" w:space="1" w:color="D67D87"/>
        </w:pBdr>
        <w:spacing w:before="160" w:after="80" w:line="240" w:lineRule="auto"/>
        <w:rPr>
          <w:lang w:val="fr-FR"/>
        </w:rPr>
      </w:pPr>
      <w:r w:rsidRPr="0056477B">
        <w:rPr>
          <w:b/>
          <w:color w:val="2F2A78"/>
          <w:sz w:val="28"/>
          <w:lang w:val="fr-FR"/>
        </w:rPr>
        <w:t>Pourquoi une thèse maintenant ?</w:t>
      </w:r>
    </w:p>
    <w:tbl>
      <w:tblPr>
        <w:tblW w:w="10612" w:type="dxa"/>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5306"/>
        <w:gridCol w:w="5306"/>
      </w:tblGrid>
      <w:tr w:rsidR="00010632" w:rsidRPr="004812B4" w14:paraId="6C36A0F5" w14:textId="77777777" w:rsidTr="00010632">
        <w:trPr>
          <w:trHeight w:val="1446"/>
          <w:jc w:val="center"/>
        </w:trPr>
        <w:tc>
          <w:tcPr>
            <w:tcW w:w="5306" w:type="dxa"/>
            <w:shd w:val="clear" w:color="auto" w:fill="FBFBFD"/>
            <w:tcMar>
              <w:top w:w="90" w:type="dxa"/>
              <w:left w:w="120" w:type="dxa"/>
              <w:bottom w:w="90" w:type="dxa"/>
              <w:right w:w="120" w:type="dxa"/>
            </w:tcMar>
            <w:vAlign w:val="center"/>
          </w:tcPr>
          <w:p w14:paraId="35B57328" w14:textId="77777777" w:rsidR="00010632" w:rsidRPr="0056477B" w:rsidRDefault="00010632">
            <w:pPr>
              <w:rPr>
                <w:lang w:val="fr-FR"/>
              </w:rPr>
            </w:pPr>
            <w:r w:rsidRPr="0056477B">
              <w:rPr>
                <w:b/>
                <w:color w:val="2F2A78"/>
                <w:sz w:val="21"/>
                <w:lang w:val="fr-FR"/>
              </w:rPr>
              <w:t>1. Qualifier la donnée</w:t>
            </w:r>
          </w:p>
          <w:p w14:paraId="0D0FA1C5" w14:textId="162E33E6" w:rsidR="00010632" w:rsidRPr="0056477B" w:rsidRDefault="00010632">
            <w:pPr>
              <w:spacing w:after="0" w:line="247" w:lineRule="auto"/>
              <w:rPr>
                <w:lang w:val="fr-FR"/>
              </w:rPr>
            </w:pPr>
            <w:r w:rsidRPr="0056477B">
              <w:rPr>
                <w:sz w:val="19"/>
                <w:lang w:val="fr-FR"/>
              </w:rPr>
              <w:t>L’accès précoce</w:t>
            </w:r>
            <w:r w:rsidR="00085D77">
              <w:rPr>
                <w:sz w:val="19"/>
                <w:lang w:val="fr-FR"/>
              </w:rPr>
              <w:t xml:space="preserve"> est une singularité française, qui</w:t>
            </w:r>
            <w:r w:rsidRPr="0056477B">
              <w:rPr>
                <w:sz w:val="19"/>
                <w:lang w:val="fr-FR"/>
              </w:rPr>
              <w:t xml:space="preserve"> repose sur des données précieuses, mais encore coûteuses à recueillir et variables selon les centres. La thèse produir</w:t>
            </w:r>
            <w:r w:rsidR="00085D77">
              <w:rPr>
                <w:sz w:val="19"/>
                <w:lang w:val="fr-FR"/>
              </w:rPr>
              <w:t>a</w:t>
            </w:r>
            <w:r w:rsidRPr="0056477B">
              <w:rPr>
                <w:sz w:val="19"/>
                <w:lang w:val="fr-FR"/>
              </w:rPr>
              <w:t xml:space="preserve"> un cadre robuste d’acceptation et de preuve d’usage</w:t>
            </w:r>
            <w:r w:rsidR="00085D77">
              <w:rPr>
                <w:sz w:val="19"/>
                <w:lang w:val="fr-FR"/>
              </w:rPr>
              <w:t xml:space="preserve"> des données extraite par IA des dossiers patients informatisés</w:t>
            </w:r>
            <w:r w:rsidRPr="0056477B">
              <w:rPr>
                <w:sz w:val="19"/>
                <w:lang w:val="fr-FR"/>
              </w:rPr>
              <w:t>.</w:t>
            </w:r>
          </w:p>
        </w:tc>
        <w:tc>
          <w:tcPr>
            <w:tcW w:w="5306" w:type="dxa"/>
            <w:shd w:val="clear" w:color="auto" w:fill="FBFBFD"/>
            <w:tcMar>
              <w:top w:w="90" w:type="dxa"/>
              <w:left w:w="120" w:type="dxa"/>
              <w:bottom w:w="90" w:type="dxa"/>
              <w:right w:w="120" w:type="dxa"/>
            </w:tcMar>
            <w:vAlign w:val="center"/>
          </w:tcPr>
          <w:p w14:paraId="04D496F3" w14:textId="6974525B" w:rsidR="00010632" w:rsidRPr="0056477B" w:rsidRDefault="00010632">
            <w:pPr>
              <w:rPr>
                <w:lang w:val="fr-FR"/>
              </w:rPr>
            </w:pPr>
            <w:r>
              <w:rPr>
                <w:b/>
                <w:color w:val="2F2A78"/>
                <w:sz w:val="21"/>
                <w:lang w:val="fr-FR"/>
              </w:rPr>
              <w:t>2</w:t>
            </w:r>
            <w:r w:rsidRPr="0056477B">
              <w:rPr>
                <w:b/>
                <w:color w:val="2F2A78"/>
                <w:sz w:val="21"/>
                <w:lang w:val="fr-FR"/>
              </w:rPr>
              <w:t>. Pérenniser et diffuser</w:t>
            </w:r>
          </w:p>
          <w:p w14:paraId="6AAF9010" w14:textId="6B652093" w:rsidR="00010632" w:rsidRPr="0056477B" w:rsidRDefault="00010632">
            <w:pPr>
              <w:spacing w:after="0" w:line="247" w:lineRule="auto"/>
              <w:rPr>
                <w:lang w:val="fr-FR"/>
              </w:rPr>
            </w:pPr>
            <w:r w:rsidRPr="0056477B">
              <w:rPr>
                <w:sz w:val="19"/>
                <w:lang w:val="fr-FR"/>
              </w:rPr>
              <w:t>Au-delà du cas d’usage DANTE,</w:t>
            </w:r>
            <w:r>
              <w:rPr>
                <w:sz w:val="19"/>
                <w:lang w:val="fr-FR"/>
              </w:rPr>
              <w:br/>
            </w:r>
            <w:r w:rsidRPr="0056477B">
              <w:rPr>
                <w:sz w:val="19"/>
                <w:lang w:val="fr-FR"/>
              </w:rPr>
              <w:t>l’objectif est de proposer une méthode reproductible, un outil intégré et un guide de bonnes pratiques</w:t>
            </w:r>
            <w:r w:rsidR="00085D77">
              <w:rPr>
                <w:sz w:val="19"/>
                <w:lang w:val="fr-FR"/>
              </w:rPr>
              <w:t xml:space="preserve"> autour des mesures de qualité et de la force probante des données extraites des dossiers patients informatisés</w:t>
            </w:r>
            <w:r w:rsidRPr="0056477B">
              <w:rPr>
                <w:sz w:val="19"/>
                <w:lang w:val="fr-FR"/>
              </w:rPr>
              <w:t>.</w:t>
            </w:r>
          </w:p>
        </w:tc>
      </w:tr>
    </w:tbl>
    <w:p w14:paraId="06C9CD78" w14:textId="77777777" w:rsidR="002E53CB" w:rsidRPr="0056477B" w:rsidRDefault="00000000">
      <w:pPr>
        <w:rPr>
          <w:lang w:val="fr-FR"/>
        </w:rPr>
      </w:pPr>
      <w:r w:rsidRPr="0056477B">
        <w:rPr>
          <w:lang w:val="fr-FR"/>
        </w:rPr>
        <w:br w:type="page"/>
      </w:r>
    </w:p>
    <w:p w14:paraId="06DC2ED1" w14:textId="77777777" w:rsidR="002E53CB" w:rsidRPr="0056477B" w:rsidRDefault="00000000">
      <w:pPr>
        <w:keepNext/>
        <w:pBdr>
          <w:bottom w:val="single" w:sz="8" w:space="1" w:color="D67D87"/>
        </w:pBdr>
        <w:spacing w:after="80" w:line="240" w:lineRule="auto"/>
        <w:rPr>
          <w:lang w:val="fr-FR"/>
        </w:rPr>
      </w:pPr>
      <w:r w:rsidRPr="0056477B">
        <w:rPr>
          <w:b/>
          <w:color w:val="2F2A78"/>
          <w:sz w:val="28"/>
          <w:lang w:val="fr-FR"/>
        </w:rPr>
        <w:lastRenderedPageBreak/>
        <w:t>Ce que la littérature permet déjà d’affirmer</w:t>
      </w:r>
    </w:p>
    <w:p w14:paraId="47FCC092" w14:textId="3A47CB50" w:rsidR="002E53CB" w:rsidRDefault="00000000">
      <w:pPr>
        <w:spacing w:after="100" w:line="252" w:lineRule="auto"/>
        <w:rPr>
          <w:lang w:val="fr-FR"/>
        </w:rPr>
      </w:pPr>
      <w:r w:rsidRPr="0056477B">
        <w:rPr>
          <w:b/>
          <w:color w:val="2F2A78"/>
          <w:lang w:val="fr-FR"/>
        </w:rPr>
        <w:t xml:space="preserve">La littérature est convergente : </w:t>
      </w:r>
      <w:r w:rsidRPr="0056477B">
        <w:rPr>
          <w:lang w:val="fr-FR"/>
        </w:rPr>
        <w:t>les données extraites par IA peuvent soutenir la production de données de recherche et de vie réelle à grande échelle, à condition d’être évaluées par usage, standardisées, tracées et validées dans des contextes multicentriques. Les zones encore insuffisamment couvertes sont précisément celles que la thèse pourrait instruire.</w:t>
      </w:r>
    </w:p>
    <w:p w14:paraId="5B78AD9D" w14:textId="77777777" w:rsidR="00D73470" w:rsidRPr="0056477B" w:rsidRDefault="00D73470">
      <w:pPr>
        <w:spacing w:after="100" w:line="252" w:lineRule="auto"/>
        <w:rPr>
          <w:lang w:val="fr-FR"/>
        </w:rPr>
      </w:pPr>
    </w:p>
    <w:tbl>
      <w:tblPr>
        <w:tblW w:w="0" w:type="auto"/>
        <w:jc w:val="center"/>
        <w:tblBorders>
          <w:top w:val="single" w:sz="8" w:space="0" w:color="D9DDE3"/>
          <w:left w:val="single" w:sz="8" w:space="0" w:color="D9DDE3"/>
          <w:bottom w:val="single" w:sz="8" w:space="0" w:color="D9DDE3"/>
          <w:right w:val="single" w:sz="8" w:space="0" w:color="D9DDE3"/>
          <w:insideH w:val="single" w:sz="8" w:space="0" w:color="D9DDE3"/>
          <w:insideV w:val="single" w:sz="8" w:space="0" w:color="D9DDE3"/>
        </w:tblBorders>
        <w:tblLayout w:type="fixed"/>
        <w:tblLook w:val="04A0" w:firstRow="1" w:lastRow="0" w:firstColumn="1" w:lastColumn="0" w:noHBand="0" w:noVBand="1"/>
      </w:tblPr>
      <w:tblGrid>
        <w:gridCol w:w="3364"/>
        <w:gridCol w:w="3364"/>
        <w:gridCol w:w="3364"/>
      </w:tblGrid>
      <w:tr w:rsidR="002E53CB" w:rsidRPr="0056477B" w14:paraId="26C9CB53" w14:textId="77777777">
        <w:trPr>
          <w:cantSplit/>
          <w:tblHeader/>
          <w:jc w:val="center"/>
        </w:trPr>
        <w:tc>
          <w:tcPr>
            <w:tcW w:w="3364" w:type="dxa"/>
            <w:shd w:val="clear" w:color="auto" w:fill="2F2A78"/>
            <w:tcMar>
              <w:top w:w="80" w:type="dxa"/>
              <w:left w:w="90" w:type="dxa"/>
              <w:bottom w:w="80" w:type="dxa"/>
              <w:right w:w="90" w:type="dxa"/>
            </w:tcMar>
            <w:vAlign w:val="center"/>
          </w:tcPr>
          <w:p w14:paraId="4674872B" w14:textId="77777777" w:rsidR="002E53CB" w:rsidRPr="0056477B" w:rsidRDefault="00000000">
            <w:pPr>
              <w:jc w:val="center"/>
              <w:rPr>
                <w:lang w:val="fr-FR"/>
              </w:rPr>
            </w:pPr>
            <w:r w:rsidRPr="0056477B">
              <w:rPr>
                <w:b/>
                <w:color w:val="FFFFFF"/>
                <w:lang w:val="fr-FR"/>
              </w:rPr>
              <w:t>Enjeu</w:t>
            </w:r>
          </w:p>
        </w:tc>
        <w:tc>
          <w:tcPr>
            <w:tcW w:w="3364" w:type="dxa"/>
            <w:shd w:val="clear" w:color="auto" w:fill="2F2A78"/>
            <w:tcMar>
              <w:top w:w="80" w:type="dxa"/>
              <w:left w:w="90" w:type="dxa"/>
              <w:bottom w:w="80" w:type="dxa"/>
              <w:right w:w="90" w:type="dxa"/>
            </w:tcMar>
            <w:vAlign w:val="center"/>
          </w:tcPr>
          <w:p w14:paraId="7F724632" w14:textId="77777777" w:rsidR="002E53CB" w:rsidRPr="0056477B" w:rsidRDefault="00000000">
            <w:pPr>
              <w:jc w:val="center"/>
              <w:rPr>
                <w:lang w:val="fr-FR"/>
              </w:rPr>
            </w:pPr>
            <w:r w:rsidRPr="0056477B">
              <w:rPr>
                <w:b/>
                <w:color w:val="FFFFFF"/>
                <w:lang w:val="fr-FR"/>
              </w:rPr>
              <w:t>Ce que montre la littérature</w:t>
            </w:r>
          </w:p>
        </w:tc>
        <w:tc>
          <w:tcPr>
            <w:tcW w:w="3364" w:type="dxa"/>
            <w:shd w:val="clear" w:color="auto" w:fill="2F2A78"/>
            <w:tcMar>
              <w:top w:w="80" w:type="dxa"/>
              <w:left w:w="90" w:type="dxa"/>
              <w:bottom w:w="80" w:type="dxa"/>
              <w:right w:w="90" w:type="dxa"/>
            </w:tcMar>
            <w:vAlign w:val="center"/>
          </w:tcPr>
          <w:p w14:paraId="5DFBFA9A" w14:textId="77777777" w:rsidR="002E53CB" w:rsidRPr="0056477B" w:rsidRDefault="00000000">
            <w:pPr>
              <w:jc w:val="center"/>
              <w:rPr>
                <w:lang w:val="fr-FR"/>
              </w:rPr>
            </w:pPr>
            <w:r w:rsidRPr="0056477B">
              <w:rPr>
                <w:b/>
                <w:color w:val="FFFFFF"/>
                <w:lang w:val="fr-FR"/>
              </w:rPr>
              <w:t>Questions doctorales à instruire</w:t>
            </w:r>
          </w:p>
        </w:tc>
      </w:tr>
      <w:tr w:rsidR="002E53CB" w:rsidRPr="004812B4" w14:paraId="29954F9F" w14:textId="77777777">
        <w:trPr>
          <w:cantSplit/>
          <w:jc w:val="center"/>
        </w:trPr>
        <w:tc>
          <w:tcPr>
            <w:tcW w:w="3364" w:type="dxa"/>
            <w:shd w:val="clear" w:color="auto" w:fill="FCFCFD"/>
            <w:tcMar>
              <w:top w:w="85" w:type="dxa"/>
              <w:left w:w="95" w:type="dxa"/>
              <w:bottom w:w="85" w:type="dxa"/>
              <w:right w:w="95" w:type="dxa"/>
            </w:tcMar>
            <w:vAlign w:val="center"/>
          </w:tcPr>
          <w:p w14:paraId="2689FFC7" w14:textId="77777777" w:rsidR="002E53CB" w:rsidRPr="0056477B" w:rsidRDefault="00000000">
            <w:pPr>
              <w:spacing w:after="0" w:line="245" w:lineRule="auto"/>
              <w:jc w:val="center"/>
              <w:rPr>
                <w:lang w:val="fr-FR"/>
              </w:rPr>
            </w:pPr>
            <w:r w:rsidRPr="0056477B">
              <w:rPr>
                <w:b/>
                <w:color w:val="2F2A78"/>
                <w:sz w:val="19"/>
                <w:lang w:val="fr-FR"/>
              </w:rPr>
              <w:t>Qualification /</w:t>
            </w:r>
            <w:r w:rsidRPr="0056477B">
              <w:rPr>
                <w:b/>
                <w:color w:val="2F2A78"/>
                <w:sz w:val="19"/>
                <w:lang w:val="fr-FR"/>
              </w:rPr>
              <w:br/>
              <w:t>adéquation à l’usage</w:t>
            </w:r>
          </w:p>
        </w:tc>
        <w:tc>
          <w:tcPr>
            <w:tcW w:w="3364" w:type="dxa"/>
            <w:shd w:val="clear" w:color="auto" w:fill="FCFCFD"/>
            <w:tcMar>
              <w:top w:w="85" w:type="dxa"/>
              <w:left w:w="95" w:type="dxa"/>
              <w:bottom w:w="85" w:type="dxa"/>
              <w:right w:w="95" w:type="dxa"/>
            </w:tcMar>
            <w:vAlign w:val="center"/>
          </w:tcPr>
          <w:p w14:paraId="172639DB" w14:textId="19B9E6C7" w:rsidR="002E53CB" w:rsidRPr="0056477B" w:rsidRDefault="00000000">
            <w:pPr>
              <w:spacing w:after="0" w:line="245" w:lineRule="auto"/>
              <w:rPr>
                <w:lang w:val="fr-FR"/>
              </w:rPr>
            </w:pPr>
            <w:r w:rsidRPr="0056477B">
              <w:rPr>
                <w:sz w:val="18"/>
                <w:lang w:val="fr-FR"/>
              </w:rPr>
              <w:t>Les cadres récents recommandent d’évaluer une donnée extraite par usage final, variable, sous-population et analyse reproduite, et non par un score unique ; ils soulignent aussi la nécessité de mesurer conform</w:t>
            </w:r>
            <w:r w:rsidR="003C7C89" w:rsidRPr="0056477B">
              <w:rPr>
                <w:sz w:val="18"/>
                <w:lang w:val="fr-FR"/>
              </w:rPr>
              <w:t>ité</w:t>
            </w:r>
            <w:r w:rsidRPr="0056477B">
              <w:rPr>
                <w:sz w:val="18"/>
                <w:lang w:val="fr-FR"/>
              </w:rPr>
              <w:t xml:space="preserve">, complétude et </w:t>
            </w:r>
            <w:r w:rsidR="003C7C89" w:rsidRPr="0056477B">
              <w:rPr>
                <w:sz w:val="18"/>
                <w:lang w:val="fr-FR"/>
              </w:rPr>
              <w:t>« </w:t>
            </w:r>
            <w:r w:rsidRPr="0056477B">
              <w:rPr>
                <w:sz w:val="18"/>
                <w:lang w:val="fr-FR"/>
              </w:rPr>
              <w:t>plausibilité</w:t>
            </w:r>
            <w:r w:rsidR="003C7C89" w:rsidRPr="0056477B">
              <w:rPr>
                <w:sz w:val="18"/>
                <w:lang w:val="fr-FR"/>
              </w:rPr>
              <w:t> »</w:t>
            </w:r>
            <w:r w:rsidRPr="0056477B">
              <w:rPr>
                <w:sz w:val="18"/>
                <w:lang w:val="fr-FR"/>
              </w:rPr>
              <w:t xml:space="preserve"> [1-4].</w:t>
            </w:r>
          </w:p>
        </w:tc>
        <w:tc>
          <w:tcPr>
            <w:tcW w:w="3364" w:type="dxa"/>
            <w:shd w:val="clear" w:color="auto" w:fill="FCFCFD"/>
            <w:tcMar>
              <w:top w:w="85" w:type="dxa"/>
              <w:left w:w="95" w:type="dxa"/>
              <w:bottom w:w="85" w:type="dxa"/>
              <w:right w:w="95" w:type="dxa"/>
            </w:tcMar>
            <w:vAlign w:val="center"/>
          </w:tcPr>
          <w:p w14:paraId="308641C1" w14:textId="77777777" w:rsidR="002E53CB" w:rsidRPr="0056477B" w:rsidRDefault="00000000">
            <w:pPr>
              <w:spacing w:after="0" w:line="245" w:lineRule="auto"/>
              <w:rPr>
                <w:lang w:val="fr-FR"/>
              </w:rPr>
            </w:pPr>
            <w:r w:rsidRPr="0056477B">
              <w:rPr>
                <w:sz w:val="18"/>
                <w:lang w:val="fr-FR"/>
              </w:rPr>
              <w:t>Quels indicateurs, seuils et règles d’acceptation définir pour les variables d’accès précoce ? Quels écarts sont tolérables selon l’usage : pilotage, recherche, appui réglementaire ?</w:t>
            </w:r>
          </w:p>
        </w:tc>
      </w:tr>
      <w:tr w:rsidR="002E53CB" w:rsidRPr="004812B4" w14:paraId="388136B3" w14:textId="77777777">
        <w:trPr>
          <w:cantSplit/>
          <w:jc w:val="center"/>
        </w:trPr>
        <w:tc>
          <w:tcPr>
            <w:tcW w:w="3364" w:type="dxa"/>
            <w:shd w:val="clear" w:color="auto" w:fill="F6F8FB"/>
            <w:tcMar>
              <w:top w:w="85" w:type="dxa"/>
              <w:left w:w="95" w:type="dxa"/>
              <w:bottom w:w="85" w:type="dxa"/>
              <w:right w:w="95" w:type="dxa"/>
            </w:tcMar>
            <w:vAlign w:val="center"/>
          </w:tcPr>
          <w:p w14:paraId="601C5DAD" w14:textId="77777777" w:rsidR="002E53CB" w:rsidRPr="0056477B" w:rsidRDefault="00000000">
            <w:pPr>
              <w:spacing w:after="0" w:line="245" w:lineRule="auto"/>
              <w:jc w:val="center"/>
              <w:rPr>
                <w:lang w:val="fr-FR"/>
              </w:rPr>
            </w:pPr>
            <w:r w:rsidRPr="0056477B">
              <w:rPr>
                <w:b/>
                <w:color w:val="2F2A78"/>
                <w:sz w:val="19"/>
                <w:lang w:val="fr-FR"/>
              </w:rPr>
              <w:t>Standardisation /</w:t>
            </w:r>
            <w:r w:rsidRPr="0056477B">
              <w:rPr>
                <w:b/>
                <w:color w:val="2F2A78"/>
                <w:sz w:val="19"/>
                <w:lang w:val="fr-FR"/>
              </w:rPr>
              <w:br/>
              <w:t>modèle commun</w:t>
            </w:r>
          </w:p>
        </w:tc>
        <w:tc>
          <w:tcPr>
            <w:tcW w:w="3364" w:type="dxa"/>
            <w:shd w:val="clear" w:color="auto" w:fill="F6F8FB"/>
            <w:tcMar>
              <w:top w:w="85" w:type="dxa"/>
              <w:left w:w="95" w:type="dxa"/>
              <w:bottom w:w="85" w:type="dxa"/>
              <w:right w:w="95" w:type="dxa"/>
            </w:tcMar>
            <w:vAlign w:val="center"/>
          </w:tcPr>
          <w:p w14:paraId="3B42AAA9" w14:textId="77777777" w:rsidR="002E53CB" w:rsidRPr="0056477B" w:rsidRDefault="00000000">
            <w:pPr>
              <w:spacing w:after="0" w:line="245" w:lineRule="auto"/>
              <w:rPr>
                <w:lang w:val="fr-FR"/>
              </w:rPr>
            </w:pPr>
            <w:r w:rsidRPr="0056477B">
              <w:rPr>
                <w:sz w:val="18"/>
                <w:lang w:val="fr-FR"/>
              </w:rPr>
              <w:t>L’OMOP-CDM et l’écosystème OHDSI améliorent l’interopérabilité des données de cancérologie, mais les usages issus du texte clinique et les événements complexes restent encore à structurer finement [5-6].</w:t>
            </w:r>
          </w:p>
        </w:tc>
        <w:tc>
          <w:tcPr>
            <w:tcW w:w="3364" w:type="dxa"/>
            <w:shd w:val="clear" w:color="auto" w:fill="F6F8FB"/>
            <w:tcMar>
              <w:top w:w="85" w:type="dxa"/>
              <w:left w:w="95" w:type="dxa"/>
              <w:bottom w:w="85" w:type="dxa"/>
              <w:right w:w="95" w:type="dxa"/>
            </w:tcMar>
            <w:vAlign w:val="center"/>
          </w:tcPr>
          <w:p w14:paraId="0799F60E" w14:textId="77777777" w:rsidR="002E53CB" w:rsidRPr="0056477B" w:rsidRDefault="00000000">
            <w:pPr>
              <w:spacing w:after="0" w:line="245" w:lineRule="auto"/>
              <w:rPr>
                <w:lang w:val="fr-FR"/>
              </w:rPr>
            </w:pPr>
            <w:r w:rsidRPr="0056477B">
              <w:rPr>
                <w:sz w:val="18"/>
                <w:lang w:val="fr-FR"/>
              </w:rPr>
              <w:t>Comment mapper un set de variables d’accès précoce vers un modèle commun, traçable et multicentrique, sans perdre l’information utile à l’évaluation ?</w:t>
            </w:r>
          </w:p>
        </w:tc>
      </w:tr>
      <w:tr w:rsidR="002E53CB" w:rsidRPr="004812B4" w14:paraId="05B0480B" w14:textId="77777777">
        <w:trPr>
          <w:cantSplit/>
          <w:jc w:val="center"/>
        </w:trPr>
        <w:tc>
          <w:tcPr>
            <w:tcW w:w="3364" w:type="dxa"/>
            <w:shd w:val="clear" w:color="auto" w:fill="FCFCFD"/>
            <w:tcMar>
              <w:top w:w="85" w:type="dxa"/>
              <w:left w:w="95" w:type="dxa"/>
              <w:bottom w:w="85" w:type="dxa"/>
              <w:right w:w="95" w:type="dxa"/>
            </w:tcMar>
            <w:vAlign w:val="center"/>
          </w:tcPr>
          <w:p w14:paraId="501C5308" w14:textId="77777777" w:rsidR="002E53CB" w:rsidRPr="0056477B" w:rsidRDefault="00000000">
            <w:pPr>
              <w:spacing w:after="0" w:line="245" w:lineRule="auto"/>
              <w:jc w:val="center"/>
              <w:rPr>
                <w:lang w:val="fr-FR"/>
              </w:rPr>
            </w:pPr>
            <w:r w:rsidRPr="0056477B">
              <w:rPr>
                <w:b/>
                <w:color w:val="2F2A78"/>
                <w:sz w:val="19"/>
                <w:lang w:val="fr-FR"/>
              </w:rPr>
              <w:t>Provenance /</w:t>
            </w:r>
            <w:r w:rsidRPr="0056477B">
              <w:rPr>
                <w:b/>
                <w:color w:val="2F2A78"/>
                <w:sz w:val="19"/>
                <w:lang w:val="fr-FR"/>
              </w:rPr>
              <w:br/>
              <w:t>confiance</w:t>
            </w:r>
          </w:p>
        </w:tc>
        <w:tc>
          <w:tcPr>
            <w:tcW w:w="3364" w:type="dxa"/>
            <w:shd w:val="clear" w:color="auto" w:fill="FCFCFD"/>
            <w:tcMar>
              <w:top w:w="85" w:type="dxa"/>
              <w:left w:w="95" w:type="dxa"/>
              <w:bottom w:w="85" w:type="dxa"/>
              <w:right w:w="95" w:type="dxa"/>
            </w:tcMar>
            <w:vAlign w:val="center"/>
          </w:tcPr>
          <w:p w14:paraId="69AA4A39" w14:textId="77777777" w:rsidR="002E53CB" w:rsidRPr="0056477B" w:rsidRDefault="00000000">
            <w:pPr>
              <w:spacing w:after="0" w:line="245" w:lineRule="auto"/>
              <w:rPr>
                <w:lang w:val="fr-FR"/>
              </w:rPr>
            </w:pPr>
            <w:r w:rsidRPr="0056477B">
              <w:rPr>
                <w:sz w:val="18"/>
                <w:lang w:val="fr-FR"/>
              </w:rPr>
              <w:t>La provenance des transformations, les journaux d’extraction et les approches d’abstention sélective (</w:t>
            </w:r>
            <w:r w:rsidRPr="00D73470">
              <w:rPr>
                <w:i/>
                <w:iCs/>
                <w:sz w:val="18"/>
                <w:lang w:val="fr-FR"/>
              </w:rPr>
              <w:t>selective prediction</w:t>
            </w:r>
            <w:r w:rsidRPr="0056477B">
              <w:rPr>
                <w:sz w:val="18"/>
                <w:lang w:val="fr-FR"/>
              </w:rPr>
              <w:t>) aident à identifier les cas incertains et à cibler la revue humaine là où elle apporte le plus de valeur [7-8].</w:t>
            </w:r>
          </w:p>
        </w:tc>
        <w:tc>
          <w:tcPr>
            <w:tcW w:w="3364" w:type="dxa"/>
            <w:shd w:val="clear" w:color="auto" w:fill="FCFCFD"/>
            <w:tcMar>
              <w:top w:w="85" w:type="dxa"/>
              <w:left w:w="95" w:type="dxa"/>
              <w:bottom w:w="85" w:type="dxa"/>
              <w:right w:w="95" w:type="dxa"/>
            </w:tcMar>
            <w:vAlign w:val="center"/>
          </w:tcPr>
          <w:p w14:paraId="44EE5143" w14:textId="36D6816D" w:rsidR="002E53CB" w:rsidRPr="0056477B" w:rsidRDefault="00000000">
            <w:pPr>
              <w:spacing w:after="0" w:line="245" w:lineRule="auto"/>
              <w:rPr>
                <w:lang w:val="fr-FR"/>
              </w:rPr>
            </w:pPr>
            <w:r w:rsidRPr="0056477B">
              <w:rPr>
                <w:sz w:val="18"/>
                <w:lang w:val="fr-FR"/>
              </w:rPr>
              <w:t xml:space="preserve">Comment attribuer à chaque donnée une preuve de source, un score de confiance et une règle de reprise humaine </w:t>
            </w:r>
            <w:r w:rsidR="003C7C89" w:rsidRPr="0056477B">
              <w:rPr>
                <w:sz w:val="18"/>
                <w:lang w:val="fr-FR"/>
              </w:rPr>
              <w:t xml:space="preserve">et de garantie humaine (AI Act) </w:t>
            </w:r>
            <w:r w:rsidRPr="0056477B">
              <w:rPr>
                <w:sz w:val="18"/>
                <w:lang w:val="fr-FR"/>
              </w:rPr>
              <w:t>documentée</w:t>
            </w:r>
            <w:r w:rsidR="003C7C89" w:rsidRPr="0056477B">
              <w:rPr>
                <w:sz w:val="18"/>
                <w:lang w:val="fr-FR"/>
              </w:rPr>
              <w:t>s</w:t>
            </w:r>
            <w:r w:rsidRPr="0056477B">
              <w:rPr>
                <w:sz w:val="18"/>
                <w:lang w:val="fr-FR"/>
              </w:rPr>
              <w:t xml:space="preserve"> ?</w:t>
            </w:r>
          </w:p>
        </w:tc>
      </w:tr>
      <w:tr w:rsidR="002E53CB" w:rsidRPr="004812B4" w14:paraId="1A09743D" w14:textId="77777777">
        <w:trPr>
          <w:cantSplit/>
          <w:jc w:val="center"/>
        </w:trPr>
        <w:tc>
          <w:tcPr>
            <w:tcW w:w="3364" w:type="dxa"/>
            <w:shd w:val="clear" w:color="auto" w:fill="F6F8FB"/>
            <w:tcMar>
              <w:top w:w="85" w:type="dxa"/>
              <w:left w:w="95" w:type="dxa"/>
              <w:bottom w:w="85" w:type="dxa"/>
              <w:right w:w="95" w:type="dxa"/>
            </w:tcMar>
            <w:vAlign w:val="center"/>
          </w:tcPr>
          <w:p w14:paraId="56C87329" w14:textId="77777777" w:rsidR="002E53CB" w:rsidRPr="0056477B" w:rsidRDefault="00000000">
            <w:pPr>
              <w:spacing w:after="0" w:line="245" w:lineRule="auto"/>
              <w:jc w:val="center"/>
              <w:rPr>
                <w:lang w:val="fr-FR"/>
              </w:rPr>
            </w:pPr>
            <w:r w:rsidRPr="0056477B">
              <w:rPr>
                <w:b/>
                <w:color w:val="2F2A78"/>
                <w:sz w:val="19"/>
                <w:lang w:val="fr-FR"/>
              </w:rPr>
              <w:t>Transférabilité /</w:t>
            </w:r>
            <w:r w:rsidRPr="0056477B">
              <w:rPr>
                <w:b/>
                <w:color w:val="2F2A78"/>
                <w:sz w:val="19"/>
                <w:lang w:val="fr-FR"/>
              </w:rPr>
              <w:br/>
              <w:t>validation</w:t>
            </w:r>
          </w:p>
        </w:tc>
        <w:tc>
          <w:tcPr>
            <w:tcW w:w="3364" w:type="dxa"/>
            <w:shd w:val="clear" w:color="auto" w:fill="F6F8FB"/>
            <w:tcMar>
              <w:top w:w="85" w:type="dxa"/>
              <w:left w:w="95" w:type="dxa"/>
              <w:bottom w:w="85" w:type="dxa"/>
              <w:right w:w="95" w:type="dxa"/>
            </w:tcMar>
            <w:vAlign w:val="center"/>
          </w:tcPr>
          <w:p w14:paraId="62F6C954" w14:textId="219F9074" w:rsidR="002E53CB" w:rsidRPr="0056477B" w:rsidRDefault="00000000">
            <w:pPr>
              <w:spacing w:after="0" w:line="245" w:lineRule="auto"/>
              <w:rPr>
                <w:lang w:val="fr-FR"/>
              </w:rPr>
            </w:pPr>
            <w:r w:rsidRPr="0056477B">
              <w:rPr>
                <w:sz w:val="18"/>
                <w:lang w:val="fr-FR"/>
              </w:rPr>
              <w:t>Les travaux récents montrent des gains possibles sur l’erreur, le temps et la variabilité inter-centres, mais la généralisation dépend fortement de l’hétérogénéité des sites, des outils et des corpus [9-11].</w:t>
            </w:r>
          </w:p>
        </w:tc>
        <w:tc>
          <w:tcPr>
            <w:tcW w:w="3364" w:type="dxa"/>
            <w:shd w:val="clear" w:color="auto" w:fill="F6F8FB"/>
            <w:tcMar>
              <w:top w:w="85" w:type="dxa"/>
              <w:left w:w="95" w:type="dxa"/>
              <w:bottom w:w="85" w:type="dxa"/>
              <w:right w:w="95" w:type="dxa"/>
            </w:tcMar>
            <w:vAlign w:val="center"/>
          </w:tcPr>
          <w:p w14:paraId="309688C3" w14:textId="77777777" w:rsidR="002E53CB" w:rsidRPr="0056477B" w:rsidRDefault="00000000">
            <w:pPr>
              <w:spacing w:after="0" w:line="245" w:lineRule="auto"/>
              <w:rPr>
                <w:lang w:val="fr-FR"/>
              </w:rPr>
            </w:pPr>
            <w:r w:rsidRPr="0056477B">
              <w:rPr>
                <w:sz w:val="18"/>
                <w:lang w:val="fr-FR"/>
              </w:rPr>
              <w:t>Comment mesurer, comparer et documenter la robustesse inter-centres et inter-technologies dans un cadre acceptable pour la diffusion des bonnes pratiques ?</w:t>
            </w:r>
          </w:p>
        </w:tc>
      </w:tr>
    </w:tbl>
    <w:p w14:paraId="69FB9FA2" w14:textId="77777777" w:rsidR="002E53CB" w:rsidRPr="0056477B" w:rsidRDefault="00000000">
      <w:pPr>
        <w:rPr>
          <w:lang w:val="fr-FR"/>
        </w:rPr>
      </w:pPr>
      <w:r w:rsidRPr="0056477B">
        <w:rPr>
          <w:lang w:val="fr-FR"/>
        </w:rPr>
        <w:br w:type="page"/>
      </w:r>
    </w:p>
    <w:p w14:paraId="7527FEE3" w14:textId="357AE780" w:rsidR="002E53CB" w:rsidRPr="0056477B" w:rsidRDefault="003C7C89">
      <w:pPr>
        <w:keepNext/>
        <w:pBdr>
          <w:bottom w:val="single" w:sz="8" w:space="1" w:color="D67D87"/>
        </w:pBdr>
        <w:spacing w:after="80" w:line="240" w:lineRule="auto"/>
        <w:rPr>
          <w:lang w:val="fr-FR"/>
        </w:rPr>
      </w:pPr>
      <w:r w:rsidRPr="0056477B">
        <w:rPr>
          <w:b/>
          <w:color w:val="2F2A78"/>
          <w:sz w:val="28"/>
          <w:lang w:val="fr-FR"/>
        </w:rPr>
        <w:t>Deux formulations possibles du sujet de thèse, un addenda</w:t>
      </w: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10092"/>
      </w:tblGrid>
      <w:tr w:rsidR="002E53CB" w:rsidRPr="004812B4" w14:paraId="7927263B" w14:textId="77777777">
        <w:trPr>
          <w:cantSplit/>
          <w:jc w:val="center"/>
        </w:trPr>
        <w:tc>
          <w:tcPr>
            <w:tcW w:w="10092" w:type="dxa"/>
            <w:shd w:val="clear" w:color="auto" w:fill="2F2A78"/>
            <w:tcMar>
              <w:top w:w="80" w:type="dxa"/>
              <w:left w:w="120" w:type="dxa"/>
              <w:bottom w:w="60" w:type="dxa"/>
              <w:right w:w="120" w:type="dxa"/>
            </w:tcMar>
            <w:vAlign w:val="center"/>
          </w:tcPr>
          <w:p w14:paraId="1A6A4008" w14:textId="1ADFE3D0" w:rsidR="002E53CB" w:rsidRPr="0056477B" w:rsidRDefault="001100EB">
            <w:pPr>
              <w:spacing w:after="0"/>
              <w:rPr>
                <w:lang w:val="fr-FR"/>
              </w:rPr>
            </w:pPr>
            <w:r>
              <w:rPr>
                <w:b/>
                <w:color w:val="FFFFFF"/>
                <w:sz w:val="23"/>
                <w:lang w:val="fr-FR"/>
              </w:rPr>
              <w:t>Thème pour un 1</w:t>
            </w:r>
            <w:r w:rsidRPr="001100EB">
              <w:rPr>
                <w:b/>
                <w:color w:val="FFFFFF"/>
                <w:sz w:val="23"/>
                <w:vertAlign w:val="superscript"/>
                <w:lang w:val="fr-FR"/>
              </w:rPr>
              <w:t>er</w:t>
            </w:r>
            <w:r>
              <w:rPr>
                <w:b/>
                <w:color w:val="FFFFFF"/>
                <w:sz w:val="23"/>
                <w:lang w:val="fr-FR"/>
              </w:rPr>
              <w:t xml:space="preserve"> </w:t>
            </w:r>
            <w:r w:rsidR="00000000" w:rsidRPr="0056477B">
              <w:rPr>
                <w:b/>
                <w:color w:val="FFFFFF"/>
                <w:sz w:val="23"/>
                <w:lang w:val="fr-FR"/>
              </w:rPr>
              <w:t>Sujet</w:t>
            </w:r>
            <w:r>
              <w:rPr>
                <w:b/>
                <w:color w:val="FFFFFF"/>
                <w:sz w:val="23"/>
                <w:lang w:val="fr-FR"/>
              </w:rPr>
              <w:t xml:space="preserve"> </w:t>
            </w:r>
            <w:r>
              <w:rPr>
                <w:b/>
                <w:color w:val="FFFFFF"/>
                <w:sz w:val="23"/>
                <w:lang w:val="fr-FR"/>
              </w:rPr>
              <w:t>–</w:t>
            </w:r>
            <w:r w:rsidRPr="0056477B">
              <w:rPr>
                <w:b/>
                <w:color w:val="FFFFFF"/>
                <w:sz w:val="23"/>
                <w:lang w:val="fr-FR"/>
              </w:rPr>
              <w:t xml:space="preserve"> </w:t>
            </w:r>
            <w:r>
              <w:rPr>
                <w:b/>
                <w:color w:val="FFFFFF"/>
                <w:sz w:val="23"/>
                <w:lang w:val="fr-FR"/>
              </w:rPr>
              <w:t xml:space="preserve">à dominante </w:t>
            </w:r>
            <w:r w:rsidRPr="001100EB">
              <w:rPr>
                <w:b/>
                <w:color w:val="FFFFFF"/>
                <w:sz w:val="23"/>
                <w:lang w:val="fr-FR"/>
              </w:rPr>
              <w:t>évaluation méthodologique</w:t>
            </w:r>
            <w:r>
              <w:rPr>
                <w:b/>
                <w:color w:val="FFFFFF"/>
                <w:sz w:val="23"/>
                <w:lang w:val="fr-FR"/>
              </w:rPr>
              <w:t xml:space="preserve"> /</w:t>
            </w:r>
            <w:r w:rsidRPr="001100EB">
              <w:rPr>
                <w:b/>
                <w:color w:val="FFFFFF"/>
                <w:sz w:val="23"/>
                <w:lang w:val="fr-FR"/>
              </w:rPr>
              <w:t xml:space="preserve"> pharmacoépidémiologie</w:t>
            </w:r>
            <w:r>
              <w:rPr>
                <w:b/>
                <w:color w:val="FFFFFF"/>
                <w:sz w:val="23"/>
                <w:lang w:val="fr-FR"/>
              </w:rPr>
              <w:t xml:space="preserve"> </w:t>
            </w:r>
            <w:r>
              <w:rPr>
                <w:b/>
                <w:color w:val="FFFFFF"/>
                <w:sz w:val="23"/>
                <w:lang w:val="fr-FR"/>
              </w:rPr>
              <w:t xml:space="preserve">: </w:t>
            </w:r>
            <w:r w:rsidR="00000000" w:rsidRPr="0056477B">
              <w:rPr>
                <w:b/>
                <w:color w:val="FFFFFF"/>
                <w:sz w:val="23"/>
                <w:lang w:val="fr-FR"/>
              </w:rPr>
              <w:t>Méthode de qualification et de probation des données d’accès précoce extraites par IA</w:t>
            </w:r>
          </w:p>
        </w:tc>
      </w:tr>
      <w:tr w:rsidR="002E53CB" w:rsidRPr="0056477B" w14:paraId="65E7F773" w14:textId="77777777">
        <w:trPr>
          <w:cantSplit/>
          <w:jc w:val="center"/>
        </w:trPr>
        <w:tc>
          <w:tcPr>
            <w:tcW w:w="10092" w:type="dxa"/>
            <w:shd w:val="clear" w:color="auto" w:fill="F8F9FD"/>
            <w:tcMar>
              <w:top w:w="110" w:type="dxa"/>
              <w:left w:w="130" w:type="dxa"/>
              <w:bottom w:w="110" w:type="dxa"/>
              <w:right w:w="130" w:type="dxa"/>
            </w:tcMar>
            <w:vAlign w:val="center"/>
          </w:tcPr>
          <w:p w14:paraId="6DF28F88" w14:textId="77777777" w:rsidR="002E53CB" w:rsidRPr="0056477B" w:rsidRDefault="002E53CB">
            <w:pPr>
              <w:rPr>
                <w:lang w:val="fr-FR"/>
              </w:rPr>
            </w:pPr>
          </w:p>
          <w:p w14:paraId="0D79360B" w14:textId="762C7A10" w:rsidR="002E53CB" w:rsidRPr="0056477B" w:rsidRDefault="00000000">
            <w:pPr>
              <w:spacing w:after="20" w:line="250" w:lineRule="auto"/>
              <w:rPr>
                <w:lang w:val="fr-FR"/>
              </w:rPr>
            </w:pPr>
            <w:r w:rsidRPr="0056477B">
              <w:rPr>
                <w:b/>
                <w:color w:val="2F2A78"/>
                <w:sz w:val="19"/>
                <w:lang w:val="fr-FR"/>
              </w:rPr>
              <w:t xml:space="preserve">Problématique. </w:t>
            </w:r>
            <w:r w:rsidRPr="0056477B">
              <w:rPr>
                <w:sz w:val="19"/>
                <w:lang w:val="fr-FR"/>
              </w:rPr>
              <w:t xml:space="preserve">Définir un référentiel opérationnel de qualité pour des variables issues des </w:t>
            </w:r>
            <w:r w:rsidR="001100EB">
              <w:rPr>
                <w:sz w:val="19"/>
                <w:lang w:val="fr-FR"/>
              </w:rPr>
              <w:t>accès précoces</w:t>
            </w:r>
            <w:r w:rsidRPr="0056477B">
              <w:rPr>
                <w:sz w:val="19"/>
                <w:lang w:val="fr-FR"/>
              </w:rPr>
              <w:t xml:space="preserve"> : exactitude, erreur, omission, concordance, stabilité inter-centres, seuils d’acceptation et documentation des usages.</w:t>
            </w:r>
          </w:p>
          <w:p w14:paraId="7E1AEB2E" w14:textId="77777777" w:rsidR="002E53CB" w:rsidRPr="0056477B" w:rsidRDefault="00000000">
            <w:pPr>
              <w:spacing w:after="20" w:line="250" w:lineRule="auto"/>
              <w:rPr>
                <w:lang w:val="fr-FR"/>
              </w:rPr>
            </w:pPr>
            <w:r w:rsidRPr="0056477B">
              <w:rPr>
                <w:b/>
                <w:color w:val="2F2A78"/>
                <w:sz w:val="19"/>
                <w:lang w:val="fr-FR"/>
              </w:rPr>
              <w:t xml:space="preserve">Travaux attendus. </w:t>
            </w:r>
            <w:r w:rsidRPr="0056477B">
              <w:rPr>
                <w:sz w:val="19"/>
                <w:lang w:val="fr-FR"/>
              </w:rPr>
              <w:t>Formalisation d’une matrice par type de variable et par usage, protocole de validation, analyse des hétérogénéités, critères de passage vers un usage routinier.</w:t>
            </w:r>
          </w:p>
          <w:p w14:paraId="69BD43D6" w14:textId="77777777" w:rsidR="002E53CB" w:rsidRPr="0056477B" w:rsidRDefault="00000000">
            <w:pPr>
              <w:spacing w:after="20" w:line="250" w:lineRule="auto"/>
              <w:rPr>
                <w:lang w:val="fr-FR"/>
              </w:rPr>
            </w:pPr>
            <w:r w:rsidRPr="0056477B">
              <w:rPr>
                <w:b/>
                <w:color w:val="2F2A78"/>
                <w:sz w:val="19"/>
                <w:lang w:val="fr-FR"/>
              </w:rPr>
              <w:t xml:space="preserve">Livrables. </w:t>
            </w:r>
            <w:r w:rsidRPr="0056477B">
              <w:rPr>
                <w:sz w:val="19"/>
                <w:lang w:val="fr-FR"/>
              </w:rPr>
              <w:t>Référentiel méthodologique, plan de qualification, article(s) méthodologique(s), recommandations de gouvernance des données.</w:t>
            </w:r>
          </w:p>
          <w:p w14:paraId="1CE059F6" w14:textId="77777777" w:rsidR="002E53CB" w:rsidRPr="0056477B" w:rsidRDefault="00000000">
            <w:pPr>
              <w:spacing w:before="20" w:after="0" w:line="240" w:lineRule="auto"/>
              <w:rPr>
                <w:lang w:val="fr-FR"/>
              </w:rPr>
            </w:pPr>
            <w:r w:rsidRPr="0056477B">
              <w:rPr>
                <w:b/>
                <w:color w:val="5C6470"/>
                <w:sz w:val="19"/>
                <w:lang w:val="fr-FR"/>
              </w:rPr>
              <w:t xml:space="preserve">Références : </w:t>
            </w:r>
            <w:r w:rsidRPr="0056477B">
              <w:rPr>
                <w:color w:val="5C6470"/>
                <w:sz w:val="19"/>
                <w:lang w:val="fr-FR"/>
              </w:rPr>
              <w:t>[1], [2], [3], [4], [11]</w:t>
            </w:r>
          </w:p>
        </w:tc>
      </w:tr>
    </w:tbl>
    <w:p w14:paraId="0F0CE2C1" w14:textId="77777777" w:rsidR="002E53CB" w:rsidRPr="0056477B" w:rsidRDefault="002E53CB">
      <w:pPr>
        <w:spacing w:after="40"/>
        <w:rPr>
          <w:lang w:val="fr-FR"/>
        </w:rPr>
      </w:pP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10092"/>
      </w:tblGrid>
      <w:tr w:rsidR="002E53CB" w:rsidRPr="004812B4" w14:paraId="175B1879" w14:textId="77777777">
        <w:trPr>
          <w:cantSplit/>
          <w:jc w:val="center"/>
        </w:trPr>
        <w:tc>
          <w:tcPr>
            <w:tcW w:w="10092" w:type="dxa"/>
            <w:shd w:val="clear" w:color="auto" w:fill="403A8A"/>
            <w:tcMar>
              <w:top w:w="80" w:type="dxa"/>
              <w:left w:w="120" w:type="dxa"/>
              <w:bottom w:w="60" w:type="dxa"/>
              <w:right w:w="120" w:type="dxa"/>
            </w:tcMar>
            <w:vAlign w:val="center"/>
          </w:tcPr>
          <w:p w14:paraId="7C63AFC5" w14:textId="0B981C3A" w:rsidR="002E53CB" w:rsidRPr="0056477B" w:rsidRDefault="001100EB">
            <w:pPr>
              <w:spacing w:after="0"/>
              <w:rPr>
                <w:lang w:val="fr-FR"/>
              </w:rPr>
            </w:pPr>
            <w:r>
              <w:rPr>
                <w:b/>
                <w:color w:val="FFFFFF"/>
                <w:sz w:val="23"/>
                <w:lang w:val="fr-FR"/>
              </w:rPr>
              <w:t xml:space="preserve">Thème pour un </w:t>
            </w:r>
            <w:r>
              <w:rPr>
                <w:b/>
                <w:color w:val="FFFFFF"/>
                <w:sz w:val="23"/>
                <w:lang w:val="fr-FR"/>
              </w:rPr>
              <w:t>2</w:t>
            </w:r>
            <w:r w:rsidRPr="001100EB">
              <w:rPr>
                <w:b/>
                <w:color w:val="FFFFFF"/>
                <w:sz w:val="23"/>
                <w:vertAlign w:val="superscript"/>
                <w:lang w:val="fr-FR"/>
              </w:rPr>
              <w:t>nd</w:t>
            </w:r>
            <w:r>
              <w:rPr>
                <w:b/>
                <w:color w:val="FFFFFF"/>
                <w:sz w:val="23"/>
                <w:lang w:val="fr-FR"/>
              </w:rPr>
              <w:t xml:space="preserve"> </w:t>
            </w:r>
            <w:r w:rsidRPr="0056477B">
              <w:rPr>
                <w:b/>
                <w:color w:val="FFFFFF"/>
                <w:sz w:val="23"/>
                <w:lang w:val="fr-FR"/>
              </w:rPr>
              <w:t>Sujet</w:t>
            </w:r>
            <w:r>
              <w:rPr>
                <w:b/>
                <w:color w:val="FFFFFF"/>
                <w:sz w:val="23"/>
                <w:lang w:val="fr-FR"/>
              </w:rPr>
              <w:t xml:space="preserve"> </w:t>
            </w:r>
            <w:r>
              <w:rPr>
                <w:b/>
                <w:color w:val="FFFFFF"/>
                <w:sz w:val="23"/>
                <w:lang w:val="fr-FR"/>
              </w:rPr>
              <w:t>à dominante IA / informatique : Participer à la création d’un o</w:t>
            </w:r>
            <w:r w:rsidR="00000000" w:rsidRPr="0056477B">
              <w:rPr>
                <w:b/>
                <w:color w:val="FFFFFF"/>
                <w:sz w:val="23"/>
                <w:lang w:val="fr-FR"/>
              </w:rPr>
              <w:t xml:space="preserve">util de </w:t>
            </w:r>
            <w:r w:rsidR="009179BF">
              <w:rPr>
                <w:b/>
                <w:color w:val="FFFFFF"/>
                <w:sz w:val="23"/>
                <w:lang w:val="fr-FR"/>
              </w:rPr>
              <w:t xml:space="preserve">contrôle qualité, </w:t>
            </w:r>
            <w:r>
              <w:rPr>
                <w:b/>
                <w:color w:val="FFFFFF"/>
                <w:sz w:val="23"/>
                <w:lang w:val="fr-FR"/>
              </w:rPr>
              <w:t xml:space="preserve">de </w:t>
            </w:r>
            <w:r w:rsidR="00000000" w:rsidRPr="0056477B">
              <w:rPr>
                <w:b/>
                <w:color w:val="FFFFFF"/>
                <w:sz w:val="23"/>
                <w:lang w:val="fr-FR"/>
              </w:rPr>
              <w:t>probation</w:t>
            </w:r>
            <w:r>
              <w:rPr>
                <w:b/>
                <w:color w:val="FFFFFF"/>
                <w:sz w:val="23"/>
                <w:lang w:val="fr-FR"/>
              </w:rPr>
              <w:t xml:space="preserve"> et</w:t>
            </w:r>
            <w:r w:rsidR="00000000" w:rsidRPr="0056477B">
              <w:rPr>
                <w:b/>
                <w:color w:val="FFFFFF"/>
                <w:sz w:val="23"/>
                <w:lang w:val="fr-FR"/>
              </w:rPr>
              <w:t xml:space="preserve"> de traçabilité </w:t>
            </w:r>
            <w:r w:rsidR="009179BF">
              <w:rPr>
                <w:b/>
                <w:color w:val="FFFFFF"/>
                <w:sz w:val="23"/>
                <w:lang w:val="fr-FR"/>
              </w:rPr>
              <w:t>des données</w:t>
            </w:r>
            <w:r>
              <w:rPr>
                <w:b/>
                <w:color w:val="FFFFFF"/>
                <w:sz w:val="23"/>
                <w:lang w:val="fr-FR"/>
              </w:rPr>
              <w:t xml:space="preserve"> extraites par IA</w:t>
            </w:r>
          </w:p>
        </w:tc>
      </w:tr>
      <w:tr w:rsidR="002E53CB" w:rsidRPr="0056477B" w14:paraId="2E44C5C6" w14:textId="77777777">
        <w:trPr>
          <w:cantSplit/>
          <w:jc w:val="center"/>
        </w:trPr>
        <w:tc>
          <w:tcPr>
            <w:tcW w:w="10092" w:type="dxa"/>
            <w:shd w:val="clear" w:color="auto" w:fill="FAF2F3"/>
            <w:tcMar>
              <w:top w:w="110" w:type="dxa"/>
              <w:left w:w="130" w:type="dxa"/>
              <w:bottom w:w="110" w:type="dxa"/>
              <w:right w:w="130" w:type="dxa"/>
            </w:tcMar>
            <w:vAlign w:val="center"/>
          </w:tcPr>
          <w:p w14:paraId="1CC68FD5" w14:textId="77777777" w:rsidR="002E53CB" w:rsidRPr="0056477B" w:rsidRDefault="002E53CB">
            <w:pPr>
              <w:rPr>
                <w:lang w:val="fr-FR"/>
              </w:rPr>
            </w:pPr>
          </w:p>
          <w:p w14:paraId="0888A8DD" w14:textId="0B5FB6DE" w:rsidR="002E53CB" w:rsidRPr="0056477B" w:rsidRDefault="00000000">
            <w:pPr>
              <w:spacing w:after="20" w:line="250" w:lineRule="auto"/>
              <w:rPr>
                <w:lang w:val="fr-FR"/>
              </w:rPr>
            </w:pPr>
            <w:r w:rsidRPr="0056477B">
              <w:rPr>
                <w:b/>
                <w:color w:val="2F2A78"/>
                <w:sz w:val="19"/>
                <w:lang w:val="fr-FR"/>
              </w:rPr>
              <w:t xml:space="preserve">Problématique. </w:t>
            </w:r>
            <w:r w:rsidR="001100EB">
              <w:rPr>
                <w:sz w:val="19"/>
                <w:lang w:val="fr-FR"/>
              </w:rPr>
              <w:t xml:space="preserve">Sujet de thèse à lier à un investissement majeur à réaliser au sein de la filière : </w:t>
            </w:r>
            <w:r w:rsidRPr="0056477B">
              <w:rPr>
                <w:sz w:val="19"/>
                <w:lang w:val="fr-FR"/>
              </w:rPr>
              <w:t xml:space="preserve"> </w:t>
            </w:r>
            <w:r w:rsidR="001100EB">
              <w:rPr>
                <w:sz w:val="19"/>
                <w:lang w:val="fr-FR"/>
              </w:rPr>
              <w:t>un</w:t>
            </w:r>
            <w:r w:rsidR="00D73470">
              <w:rPr>
                <w:sz w:val="19"/>
                <w:lang w:val="fr-FR"/>
              </w:rPr>
              <w:t xml:space="preserve"> cahier des charges d’</w:t>
            </w:r>
            <w:r w:rsidRPr="0056477B">
              <w:rPr>
                <w:sz w:val="19"/>
                <w:lang w:val="fr-FR"/>
              </w:rPr>
              <w:t xml:space="preserve">un outil </w:t>
            </w:r>
            <w:r w:rsidR="00D73470">
              <w:rPr>
                <w:sz w:val="19"/>
                <w:lang w:val="fr-FR"/>
              </w:rPr>
              <w:t xml:space="preserve">de contrôle de qualité des données extraites, </w:t>
            </w:r>
            <w:r w:rsidRPr="0056477B">
              <w:rPr>
                <w:sz w:val="19"/>
                <w:lang w:val="fr-FR"/>
              </w:rPr>
              <w:t>qui attribue un score de confiance, détecte les incohérences et oriente la reprise humaine des cas incertains</w:t>
            </w:r>
            <w:r w:rsidR="00F05C73">
              <w:rPr>
                <w:sz w:val="19"/>
                <w:lang w:val="fr-FR"/>
              </w:rPr>
              <w:t xml:space="preserve"> de contrôle de la qualité des données extraites par IA</w:t>
            </w:r>
            <w:r w:rsidRPr="0056477B">
              <w:rPr>
                <w:sz w:val="19"/>
                <w:lang w:val="fr-FR"/>
              </w:rPr>
              <w:t>.</w:t>
            </w:r>
          </w:p>
          <w:p w14:paraId="7DC2C886" w14:textId="77777777" w:rsidR="002E53CB" w:rsidRPr="0056477B" w:rsidRDefault="00000000">
            <w:pPr>
              <w:spacing w:after="20" w:line="250" w:lineRule="auto"/>
              <w:rPr>
                <w:lang w:val="fr-FR"/>
              </w:rPr>
            </w:pPr>
            <w:r w:rsidRPr="0056477B">
              <w:rPr>
                <w:b/>
                <w:color w:val="2F2A78"/>
                <w:sz w:val="19"/>
                <w:lang w:val="fr-FR"/>
              </w:rPr>
              <w:t xml:space="preserve">Travaux attendus. </w:t>
            </w:r>
            <w:r w:rsidRPr="0056477B">
              <w:rPr>
                <w:sz w:val="19"/>
                <w:lang w:val="fr-FR"/>
              </w:rPr>
              <w:t>Architecture fonctionnelle, modèle de provenance, règles de cohérence, tableau de bord d’audit, circuit de revue ciblée (human-in-the-loop), compatibilité avec un modèle commun de données.</w:t>
            </w:r>
          </w:p>
          <w:p w14:paraId="3493BD42" w14:textId="77777777" w:rsidR="002E53CB" w:rsidRPr="0056477B" w:rsidRDefault="00000000">
            <w:pPr>
              <w:spacing w:after="20" w:line="250" w:lineRule="auto"/>
              <w:rPr>
                <w:lang w:val="fr-FR"/>
              </w:rPr>
            </w:pPr>
            <w:r w:rsidRPr="0056477B">
              <w:rPr>
                <w:b/>
                <w:color w:val="2F2A78"/>
                <w:sz w:val="19"/>
                <w:lang w:val="fr-FR"/>
              </w:rPr>
              <w:t xml:space="preserve">Livrables. </w:t>
            </w:r>
            <w:r w:rsidRPr="0056477B">
              <w:rPr>
                <w:sz w:val="19"/>
                <w:lang w:val="fr-FR"/>
              </w:rPr>
              <w:t>Prototype démonstrateur, spécifications fonctionnelles et techniques, tableau de bord qualité, documentation de traçabilité et d’auditabilité.</w:t>
            </w:r>
          </w:p>
          <w:p w14:paraId="22D05B21" w14:textId="77777777" w:rsidR="002E53CB" w:rsidRPr="0056477B" w:rsidRDefault="00000000">
            <w:pPr>
              <w:spacing w:before="20" w:after="0" w:line="240" w:lineRule="auto"/>
              <w:rPr>
                <w:lang w:val="fr-FR"/>
              </w:rPr>
            </w:pPr>
            <w:r w:rsidRPr="0056477B">
              <w:rPr>
                <w:b/>
                <w:color w:val="5C6470"/>
                <w:sz w:val="19"/>
                <w:lang w:val="fr-FR"/>
              </w:rPr>
              <w:t xml:space="preserve">Références : </w:t>
            </w:r>
            <w:r w:rsidRPr="0056477B">
              <w:rPr>
                <w:color w:val="5C6470"/>
                <w:sz w:val="19"/>
                <w:lang w:val="fr-FR"/>
              </w:rPr>
              <w:t>[5], [7], [8], [9]</w:t>
            </w:r>
          </w:p>
        </w:tc>
      </w:tr>
    </w:tbl>
    <w:p w14:paraId="1F640D08" w14:textId="77777777" w:rsidR="002E53CB" w:rsidRPr="0056477B" w:rsidRDefault="002E53CB">
      <w:pPr>
        <w:spacing w:after="40"/>
        <w:rPr>
          <w:lang w:val="fr-FR"/>
        </w:rPr>
      </w:pP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10092"/>
      </w:tblGrid>
      <w:tr w:rsidR="002E53CB" w:rsidRPr="004812B4" w14:paraId="367318C4" w14:textId="77777777">
        <w:trPr>
          <w:cantSplit/>
          <w:jc w:val="center"/>
        </w:trPr>
        <w:tc>
          <w:tcPr>
            <w:tcW w:w="10092" w:type="dxa"/>
            <w:shd w:val="clear" w:color="auto" w:fill="D67D87"/>
            <w:tcMar>
              <w:top w:w="80" w:type="dxa"/>
              <w:left w:w="120" w:type="dxa"/>
              <w:bottom w:w="60" w:type="dxa"/>
              <w:right w:w="120" w:type="dxa"/>
            </w:tcMar>
            <w:vAlign w:val="center"/>
          </w:tcPr>
          <w:p w14:paraId="5C54A60D" w14:textId="5A18CF9F" w:rsidR="002E53CB" w:rsidRPr="0056477B" w:rsidRDefault="003C7C89">
            <w:pPr>
              <w:spacing w:after="0"/>
              <w:rPr>
                <w:lang w:val="fr-FR"/>
              </w:rPr>
            </w:pPr>
            <w:r w:rsidRPr="0056477B">
              <w:rPr>
                <w:b/>
                <w:color w:val="FFFFFF"/>
                <w:sz w:val="23"/>
                <w:lang w:val="fr-FR"/>
              </w:rPr>
              <w:t xml:space="preserve">Addenda au sujet 1 ou au sujet 2 : </w:t>
            </w:r>
            <w:r w:rsidR="00807C03">
              <w:rPr>
                <w:b/>
                <w:color w:val="FFFFFF"/>
                <w:sz w:val="23"/>
                <w:lang w:val="fr-FR"/>
              </w:rPr>
              <w:t>C</w:t>
            </w:r>
            <w:r w:rsidRPr="0056477B">
              <w:rPr>
                <w:b/>
                <w:color w:val="FFFFFF"/>
                <w:sz w:val="23"/>
                <w:lang w:val="fr-FR"/>
              </w:rPr>
              <w:t>omparatif FR/UE/international et guide de bonnes pratiques</w:t>
            </w:r>
          </w:p>
        </w:tc>
      </w:tr>
      <w:tr w:rsidR="002E53CB" w:rsidRPr="0056477B" w14:paraId="08CFECCF" w14:textId="77777777">
        <w:trPr>
          <w:cantSplit/>
          <w:jc w:val="center"/>
        </w:trPr>
        <w:tc>
          <w:tcPr>
            <w:tcW w:w="10092" w:type="dxa"/>
            <w:shd w:val="clear" w:color="auto" w:fill="F7E8EA"/>
            <w:tcMar>
              <w:top w:w="110" w:type="dxa"/>
              <w:left w:w="130" w:type="dxa"/>
              <w:bottom w:w="110" w:type="dxa"/>
              <w:right w:w="130" w:type="dxa"/>
            </w:tcMar>
            <w:vAlign w:val="center"/>
          </w:tcPr>
          <w:p w14:paraId="7889DB16" w14:textId="77777777" w:rsidR="002E53CB" w:rsidRPr="0056477B" w:rsidRDefault="002E53CB">
            <w:pPr>
              <w:rPr>
                <w:lang w:val="fr-FR"/>
              </w:rPr>
            </w:pPr>
          </w:p>
          <w:p w14:paraId="5BA6CA8F" w14:textId="77777777" w:rsidR="002E53CB" w:rsidRPr="0056477B" w:rsidRDefault="00000000">
            <w:pPr>
              <w:spacing w:after="20" w:line="250" w:lineRule="auto"/>
              <w:rPr>
                <w:lang w:val="fr-FR"/>
              </w:rPr>
            </w:pPr>
            <w:r w:rsidRPr="0056477B">
              <w:rPr>
                <w:b/>
                <w:color w:val="2F2A78"/>
                <w:sz w:val="19"/>
                <w:lang w:val="fr-FR"/>
              </w:rPr>
              <w:t xml:space="preserve">Problématique. </w:t>
            </w:r>
            <w:r w:rsidRPr="0056477B">
              <w:rPr>
                <w:sz w:val="19"/>
                <w:lang w:val="fr-FR"/>
              </w:rPr>
              <w:t>Évaluer la transférabilité des méthodes et des outils entre centres et partenaires technologiques, et produire un cadre de diffusion au-delà du cas français.</w:t>
            </w:r>
          </w:p>
          <w:p w14:paraId="28B5BB9F" w14:textId="77777777" w:rsidR="002E53CB" w:rsidRPr="0056477B" w:rsidRDefault="00000000">
            <w:pPr>
              <w:spacing w:after="20" w:line="250" w:lineRule="auto"/>
              <w:rPr>
                <w:lang w:val="fr-FR"/>
              </w:rPr>
            </w:pPr>
            <w:r w:rsidRPr="0056477B">
              <w:rPr>
                <w:b/>
                <w:color w:val="2F2A78"/>
                <w:sz w:val="19"/>
                <w:lang w:val="fr-FR"/>
              </w:rPr>
              <w:t xml:space="preserve">Travaux attendus. </w:t>
            </w:r>
            <w:r w:rsidRPr="0056477B">
              <w:rPr>
                <w:sz w:val="19"/>
                <w:lang w:val="fr-FR"/>
              </w:rPr>
              <w:t>Benchmark anonymisé inter-centres/inter-technologies, revue comparative des pratiques européennes et internationales, canevas de reporting, recommandations de déploiement.</w:t>
            </w:r>
          </w:p>
          <w:p w14:paraId="5EEB9D46" w14:textId="628B3FBA" w:rsidR="002E53CB" w:rsidRPr="0056477B" w:rsidRDefault="00000000">
            <w:pPr>
              <w:spacing w:after="20" w:line="250" w:lineRule="auto"/>
              <w:rPr>
                <w:lang w:val="fr-FR"/>
              </w:rPr>
            </w:pPr>
            <w:r w:rsidRPr="0056477B">
              <w:rPr>
                <w:b/>
                <w:color w:val="2F2A78"/>
                <w:sz w:val="19"/>
                <w:lang w:val="fr-FR"/>
              </w:rPr>
              <w:t xml:space="preserve">Livrables. </w:t>
            </w:r>
            <w:r w:rsidRPr="0056477B">
              <w:rPr>
                <w:sz w:val="19"/>
                <w:lang w:val="fr-FR"/>
              </w:rPr>
              <w:t xml:space="preserve">Guide </w:t>
            </w:r>
            <w:r w:rsidR="003C7C89" w:rsidRPr="0056477B">
              <w:rPr>
                <w:sz w:val="19"/>
                <w:lang w:val="fr-FR"/>
              </w:rPr>
              <w:t>de FIlière</w:t>
            </w:r>
            <w:r w:rsidRPr="0056477B">
              <w:rPr>
                <w:sz w:val="19"/>
                <w:lang w:val="fr-FR"/>
              </w:rPr>
              <w:t xml:space="preserve"> de bonnes pratiques, comparatif méthodologique, support de dissémination pour écoles doctorales, industriels et partenaires académiques.</w:t>
            </w:r>
          </w:p>
          <w:p w14:paraId="0FFD7075" w14:textId="77777777" w:rsidR="002E53CB" w:rsidRPr="0056477B" w:rsidRDefault="00000000">
            <w:pPr>
              <w:spacing w:before="20" w:after="0" w:line="240" w:lineRule="auto"/>
              <w:rPr>
                <w:lang w:val="fr-FR"/>
              </w:rPr>
            </w:pPr>
            <w:r w:rsidRPr="0056477B">
              <w:rPr>
                <w:b/>
                <w:color w:val="5C6470"/>
                <w:sz w:val="19"/>
                <w:lang w:val="fr-FR"/>
              </w:rPr>
              <w:t xml:space="preserve">Références : </w:t>
            </w:r>
            <w:r w:rsidRPr="0056477B">
              <w:rPr>
                <w:color w:val="5C6470"/>
                <w:sz w:val="19"/>
                <w:lang w:val="fr-FR"/>
              </w:rPr>
              <w:t>[6], [9], [10], [11]</w:t>
            </w:r>
          </w:p>
        </w:tc>
      </w:tr>
    </w:tbl>
    <w:p w14:paraId="2BBC6C6F" w14:textId="66B3222E" w:rsidR="002E53CB" w:rsidRPr="0056477B" w:rsidRDefault="00000000">
      <w:pPr>
        <w:keepNext/>
        <w:pBdr>
          <w:bottom w:val="single" w:sz="8" w:space="1" w:color="D67D87"/>
        </w:pBdr>
        <w:spacing w:before="140" w:line="240" w:lineRule="auto"/>
        <w:rPr>
          <w:lang w:val="fr-FR"/>
        </w:rPr>
      </w:pPr>
      <w:r w:rsidRPr="0056477B">
        <w:rPr>
          <w:b/>
          <w:color w:val="2F2A78"/>
          <w:sz w:val="27"/>
          <w:lang w:val="fr-FR"/>
        </w:rPr>
        <w:t>Profil</w:t>
      </w:r>
      <w:r w:rsidR="00807C03">
        <w:rPr>
          <w:b/>
          <w:color w:val="2F2A78"/>
          <w:sz w:val="27"/>
          <w:lang w:val="fr-FR"/>
        </w:rPr>
        <w:t>s</w:t>
      </w:r>
      <w:r w:rsidRPr="0056477B">
        <w:rPr>
          <w:b/>
          <w:color w:val="2F2A78"/>
          <w:sz w:val="27"/>
          <w:lang w:val="fr-FR"/>
        </w:rPr>
        <w:t xml:space="preserve"> </w:t>
      </w:r>
      <w:r w:rsidR="00807C03">
        <w:rPr>
          <w:b/>
          <w:color w:val="2F2A78"/>
          <w:sz w:val="27"/>
          <w:lang w:val="fr-FR"/>
        </w:rPr>
        <w:t>possibles</w:t>
      </w: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9346"/>
      </w:tblGrid>
      <w:tr w:rsidR="00807C03" w:rsidRPr="004812B4" w14:paraId="1B07A26A" w14:textId="77777777" w:rsidTr="00807C03">
        <w:trPr>
          <w:trHeight w:val="1594"/>
          <w:jc w:val="center"/>
        </w:trPr>
        <w:tc>
          <w:tcPr>
            <w:tcW w:w="9346" w:type="dxa"/>
            <w:shd w:val="clear" w:color="auto" w:fill="FCFCFD"/>
            <w:tcMar>
              <w:top w:w="90" w:type="dxa"/>
              <w:left w:w="120" w:type="dxa"/>
              <w:bottom w:w="90" w:type="dxa"/>
              <w:right w:w="120" w:type="dxa"/>
            </w:tcMar>
            <w:vAlign w:val="center"/>
          </w:tcPr>
          <w:p w14:paraId="7698B0BE" w14:textId="77777777" w:rsidR="00807C03" w:rsidRPr="0056477B" w:rsidRDefault="00807C03" w:rsidP="003C7C89">
            <w:pPr>
              <w:jc w:val="center"/>
              <w:rPr>
                <w:lang w:val="fr-FR"/>
              </w:rPr>
            </w:pPr>
            <w:r w:rsidRPr="0056477B">
              <w:rPr>
                <w:b/>
                <w:color w:val="2F2A78"/>
                <w:sz w:val="21"/>
                <w:lang w:val="fr-FR"/>
              </w:rPr>
              <w:t>Profils particulièrement adaptés</w:t>
            </w:r>
          </w:p>
          <w:p w14:paraId="5AC161BB" w14:textId="4E5F012D" w:rsidR="00807C03" w:rsidRPr="00495C39" w:rsidRDefault="00807C03" w:rsidP="00495C39">
            <w:pPr>
              <w:pStyle w:val="Paragraphedeliste"/>
              <w:numPr>
                <w:ilvl w:val="0"/>
                <w:numId w:val="10"/>
              </w:numPr>
              <w:spacing w:after="20"/>
              <w:rPr>
                <w:lang w:val="fr-FR"/>
              </w:rPr>
            </w:pPr>
            <w:r w:rsidRPr="00495C39">
              <w:rPr>
                <w:sz w:val="19"/>
                <w:lang w:val="fr-FR"/>
              </w:rPr>
              <w:t xml:space="preserve">sciences des données de santé, </w:t>
            </w:r>
            <w:r>
              <w:rPr>
                <w:sz w:val="19"/>
                <w:lang w:val="fr-FR"/>
              </w:rPr>
              <w:t xml:space="preserve">IA / </w:t>
            </w:r>
            <w:r w:rsidRPr="00495C39">
              <w:rPr>
                <w:sz w:val="19"/>
                <w:lang w:val="fr-FR"/>
              </w:rPr>
              <w:t>NLP / extraction d’information</w:t>
            </w:r>
            <w:r>
              <w:rPr>
                <w:sz w:val="19"/>
                <w:lang w:val="fr-FR"/>
              </w:rPr>
              <w:t>s</w:t>
            </w:r>
            <w:r w:rsidRPr="00495C39">
              <w:rPr>
                <w:sz w:val="19"/>
                <w:lang w:val="fr-FR"/>
              </w:rPr>
              <w:t>, informatique biomédicale ;</w:t>
            </w:r>
          </w:p>
          <w:p w14:paraId="47CF34C0" w14:textId="77777777" w:rsidR="00807C03" w:rsidRPr="00495C39" w:rsidRDefault="00807C03" w:rsidP="00495C39">
            <w:pPr>
              <w:pStyle w:val="Paragraphedeliste"/>
              <w:numPr>
                <w:ilvl w:val="0"/>
                <w:numId w:val="10"/>
              </w:numPr>
              <w:spacing w:after="20"/>
              <w:rPr>
                <w:lang w:val="fr-FR"/>
              </w:rPr>
            </w:pPr>
            <w:r w:rsidRPr="00495C39">
              <w:rPr>
                <w:sz w:val="19"/>
                <w:lang w:val="fr-FR"/>
              </w:rPr>
              <w:t>biostatistique, évaluation méthodologique, pharmacoépidémiologie ;</w:t>
            </w:r>
          </w:p>
          <w:p w14:paraId="73278037" w14:textId="02E1C4CD" w:rsidR="00807C03" w:rsidRPr="00495C39" w:rsidRDefault="00807C03" w:rsidP="00495C39">
            <w:pPr>
              <w:pStyle w:val="Paragraphedeliste"/>
              <w:numPr>
                <w:ilvl w:val="0"/>
                <w:numId w:val="10"/>
              </w:numPr>
              <w:spacing w:after="20"/>
              <w:rPr>
                <w:lang w:val="fr-FR"/>
              </w:rPr>
            </w:pPr>
            <w:r w:rsidRPr="00495C39">
              <w:rPr>
                <w:sz w:val="19"/>
                <w:lang w:val="fr-FR"/>
              </w:rPr>
              <w:t>santé publique / recherche clinique avec appétence forte pour la donnée de santé.</w:t>
            </w:r>
          </w:p>
        </w:tc>
      </w:tr>
    </w:tbl>
    <w:p w14:paraId="6C2B49A4" w14:textId="77777777" w:rsidR="002E53CB" w:rsidRPr="0056477B" w:rsidRDefault="00000000">
      <w:pPr>
        <w:keepNext/>
        <w:pBdr>
          <w:bottom w:val="single" w:sz="8" w:space="1" w:color="D67D87"/>
        </w:pBdr>
        <w:spacing w:after="80" w:line="240" w:lineRule="auto"/>
        <w:rPr>
          <w:lang w:val="fr-FR"/>
        </w:rPr>
      </w:pPr>
      <w:r w:rsidRPr="0056477B">
        <w:rPr>
          <w:b/>
          <w:color w:val="2F2A78"/>
          <w:sz w:val="28"/>
          <w:lang w:val="fr-FR"/>
        </w:rPr>
        <w:t>Modalités de recrutement CIFRE et rattachement à une école doctorale</w:t>
      </w:r>
    </w:p>
    <w:p w14:paraId="53B4F8EF" w14:textId="277A0F81" w:rsidR="002E53CB" w:rsidRPr="0056477B" w:rsidRDefault="00000000">
      <w:pPr>
        <w:spacing w:after="80" w:line="252" w:lineRule="auto"/>
        <w:rPr>
          <w:lang w:val="fr-FR"/>
        </w:rPr>
      </w:pPr>
      <w:r w:rsidRPr="0056477B">
        <w:rPr>
          <w:b/>
          <w:color w:val="2F2A78"/>
          <w:lang w:val="fr-FR"/>
        </w:rPr>
        <w:t xml:space="preserve">Repères pratiques. </w:t>
      </w:r>
      <w:r w:rsidRPr="0056477B">
        <w:rPr>
          <w:lang w:val="fr-FR"/>
        </w:rPr>
        <w:t>Le montage attendu repose sur un employeur de droit français</w:t>
      </w:r>
      <w:r w:rsidR="00B70EA3" w:rsidRPr="0056477B">
        <w:rPr>
          <w:lang w:val="fr-FR"/>
        </w:rPr>
        <w:t xml:space="preserve"> (la Filière IA et Cancers)</w:t>
      </w:r>
      <w:r w:rsidRPr="0056477B">
        <w:rPr>
          <w:lang w:val="fr-FR"/>
        </w:rPr>
        <w:t>, un laboratoire académique rattaché à une école doctorale, un directeur de thèse habilité et un doctorant titulaire d’un grade de master ou équivalent. Le doctorat se prépare en règle générale en trois ans à temps plein.</w:t>
      </w:r>
    </w:p>
    <w:tbl>
      <w:tblPr>
        <w:tblW w:w="10092" w:type="dxa"/>
        <w:jc w:val="center"/>
        <w:tblBorders>
          <w:top w:val="single" w:sz="8" w:space="0" w:color="D9DDE3"/>
          <w:left w:val="single" w:sz="8" w:space="0" w:color="D9DDE3"/>
          <w:bottom w:val="single" w:sz="8" w:space="0" w:color="D9DDE3"/>
          <w:right w:val="single" w:sz="8" w:space="0" w:color="D9DDE3"/>
          <w:insideH w:val="single" w:sz="8" w:space="0" w:color="D9DDE3"/>
          <w:insideV w:val="single" w:sz="8" w:space="0" w:color="D9DDE3"/>
        </w:tblBorders>
        <w:tblLayout w:type="fixed"/>
        <w:tblLook w:val="04A0" w:firstRow="1" w:lastRow="0" w:firstColumn="1" w:lastColumn="0" w:noHBand="0" w:noVBand="1"/>
      </w:tblPr>
      <w:tblGrid>
        <w:gridCol w:w="5046"/>
        <w:gridCol w:w="5046"/>
      </w:tblGrid>
      <w:tr w:rsidR="002E53CB" w:rsidRPr="0056477B" w14:paraId="23C6A51D" w14:textId="77777777" w:rsidTr="00030162">
        <w:trPr>
          <w:tblHeader/>
          <w:jc w:val="center"/>
        </w:trPr>
        <w:tc>
          <w:tcPr>
            <w:tcW w:w="5046" w:type="dxa"/>
            <w:shd w:val="clear" w:color="auto" w:fill="2F2A78"/>
            <w:tcMar>
              <w:top w:w="80" w:type="dxa"/>
              <w:left w:w="90" w:type="dxa"/>
              <w:bottom w:w="80" w:type="dxa"/>
              <w:right w:w="90" w:type="dxa"/>
            </w:tcMar>
          </w:tcPr>
          <w:p w14:paraId="60BED971" w14:textId="77777777" w:rsidR="002E53CB" w:rsidRPr="0056477B" w:rsidRDefault="00000000">
            <w:pPr>
              <w:jc w:val="center"/>
              <w:rPr>
                <w:lang w:val="fr-FR"/>
              </w:rPr>
            </w:pPr>
            <w:r w:rsidRPr="0056477B">
              <w:rPr>
                <w:b/>
                <w:color w:val="FFFFFF"/>
                <w:lang w:val="fr-FR"/>
              </w:rPr>
              <w:t>Acteur / étape</w:t>
            </w:r>
          </w:p>
        </w:tc>
        <w:tc>
          <w:tcPr>
            <w:tcW w:w="5046" w:type="dxa"/>
            <w:shd w:val="clear" w:color="auto" w:fill="2F2A78"/>
            <w:tcMar>
              <w:top w:w="80" w:type="dxa"/>
              <w:left w:w="90" w:type="dxa"/>
              <w:bottom w:w="80" w:type="dxa"/>
              <w:right w:w="90" w:type="dxa"/>
            </w:tcMar>
          </w:tcPr>
          <w:p w14:paraId="14A89E1E" w14:textId="77777777" w:rsidR="002E53CB" w:rsidRPr="0056477B" w:rsidRDefault="00000000">
            <w:pPr>
              <w:jc w:val="center"/>
              <w:rPr>
                <w:lang w:val="fr-FR"/>
              </w:rPr>
            </w:pPr>
            <w:r w:rsidRPr="0056477B">
              <w:rPr>
                <w:b/>
                <w:color w:val="FFFFFF"/>
                <w:lang w:val="fr-FR"/>
              </w:rPr>
              <w:t>Éléments clés</w:t>
            </w:r>
          </w:p>
        </w:tc>
      </w:tr>
      <w:tr w:rsidR="002E53CB" w:rsidRPr="004812B4" w14:paraId="77E677F1" w14:textId="77777777" w:rsidTr="00030162">
        <w:trPr>
          <w:jc w:val="center"/>
        </w:trPr>
        <w:tc>
          <w:tcPr>
            <w:tcW w:w="5046" w:type="dxa"/>
            <w:shd w:val="clear" w:color="auto" w:fill="FCFCFD"/>
            <w:tcMar>
              <w:top w:w="90" w:type="dxa"/>
              <w:left w:w="95" w:type="dxa"/>
              <w:bottom w:w="90" w:type="dxa"/>
              <w:right w:w="95" w:type="dxa"/>
            </w:tcMar>
            <w:vAlign w:val="center"/>
          </w:tcPr>
          <w:p w14:paraId="16B91690" w14:textId="77777777" w:rsidR="002E53CB" w:rsidRPr="0056477B" w:rsidRDefault="00000000">
            <w:pPr>
              <w:spacing w:after="0" w:line="245" w:lineRule="auto"/>
              <w:jc w:val="center"/>
              <w:rPr>
                <w:lang w:val="fr-FR"/>
              </w:rPr>
            </w:pPr>
            <w:r w:rsidRPr="0056477B">
              <w:rPr>
                <w:b/>
                <w:color w:val="2F2A78"/>
                <w:sz w:val="19"/>
                <w:lang w:val="fr-FR"/>
              </w:rPr>
              <w:t>Employeur</w:t>
            </w:r>
          </w:p>
        </w:tc>
        <w:tc>
          <w:tcPr>
            <w:tcW w:w="5046" w:type="dxa"/>
            <w:shd w:val="clear" w:color="auto" w:fill="FCFCFD"/>
            <w:tcMar>
              <w:top w:w="90" w:type="dxa"/>
              <w:left w:w="95" w:type="dxa"/>
              <w:bottom w:w="90" w:type="dxa"/>
              <w:right w:w="95" w:type="dxa"/>
            </w:tcMar>
            <w:vAlign w:val="center"/>
          </w:tcPr>
          <w:p w14:paraId="55A361A9" w14:textId="1BA65818" w:rsidR="002E53CB" w:rsidRPr="0056477B" w:rsidRDefault="00000000">
            <w:pPr>
              <w:spacing w:after="0" w:line="245" w:lineRule="auto"/>
              <w:rPr>
                <w:lang w:val="fr-FR"/>
              </w:rPr>
            </w:pPr>
            <w:r w:rsidRPr="0056477B">
              <w:rPr>
                <w:sz w:val="18"/>
                <w:lang w:val="fr-FR"/>
              </w:rPr>
              <w:t>Structure de droit français. Recrutement du doctorant en CDD de 36 mois ou en CDI. Salaire minimum brut annuel à 27 600 EUR. Subvention ANRT : 14 000 EUR par an pendant 3 ans ; un contrat de collaboration employeur-laboratoire doit être conclu au plus tard dans les 6 mois suivant le début de la CIFRE.</w:t>
            </w:r>
          </w:p>
        </w:tc>
      </w:tr>
      <w:tr w:rsidR="002E53CB" w:rsidRPr="004812B4" w14:paraId="6BB063BF" w14:textId="77777777" w:rsidTr="00030162">
        <w:trPr>
          <w:jc w:val="center"/>
        </w:trPr>
        <w:tc>
          <w:tcPr>
            <w:tcW w:w="5046" w:type="dxa"/>
            <w:shd w:val="clear" w:color="auto" w:fill="F7F8FB"/>
            <w:tcMar>
              <w:top w:w="90" w:type="dxa"/>
              <w:left w:w="95" w:type="dxa"/>
              <w:bottom w:w="90" w:type="dxa"/>
              <w:right w:w="95" w:type="dxa"/>
            </w:tcMar>
            <w:vAlign w:val="center"/>
          </w:tcPr>
          <w:p w14:paraId="5F9459CD" w14:textId="77777777" w:rsidR="002E53CB" w:rsidRPr="0056477B" w:rsidRDefault="00000000">
            <w:pPr>
              <w:spacing w:after="0" w:line="245" w:lineRule="auto"/>
              <w:jc w:val="center"/>
              <w:rPr>
                <w:lang w:val="fr-FR"/>
              </w:rPr>
            </w:pPr>
            <w:r w:rsidRPr="0056477B">
              <w:rPr>
                <w:b/>
                <w:color w:val="2F2A78"/>
                <w:sz w:val="19"/>
                <w:lang w:val="fr-FR"/>
              </w:rPr>
              <w:t>Candidat</w:t>
            </w:r>
          </w:p>
        </w:tc>
        <w:tc>
          <w:tcPr>
            <w:tcW w:w="5046" w:type="dxa"/>
            <w:shd w:val="clear" w:color="auto" w:fill="F7F8FB"/>
            <w:tcMar>
              <w:top w:w="90" w:type="dxa"/>
              <w:left w:w="95" w:type="dxa"/>
              <w:bottom w:w="90" w:type="dxa"/>
              <w:right w:w="95" w:type="dxa"/>
            </w:tcMar>
            <w:vAlign w:val="center"/>
          </w:tcPr>
          <w:p w14:paraId="5945F40C" w14:textId="77777777" w:rsidR="002E53CB" w:rsidRPr="0056477B" w:rsidRDefault="00000000">
            <w:pPr>
              <w:spacing w:after="0" w:line="245" w:lineRule="auto"/>
              <w:rPr>
                <w:lang w:val="fr-FR"/>
              </w:rPr>
            </w:pPr>
            <w:r w:rsidRPr="0056477B">
              <w:rPr>
                <w:sz w:val="18"/>
                <w:lang w:val="fr-FR"/>
              </w:rPr>
              <w:t>Titulaire d’un diplôme conférant le grade de master ou équivalent. Dispositif ouvert à toute nationalité et sans condition d’âge. Il doit s’agir d’une première expérience professionnelle de recherche ; le candidat ne doit pas avoir été employé par la structure sur plus de 9 mois cumulés ni être inscrit en thèse depuis plus de 9 mois à la date de réception du dossier.</w:t>
            </w:r>
          </w:p>
        </w:tc>
      </w:tr>
      <w:tr w:rsidR="002E53CB" w:rsidRPr="0056477B" w14:paraId="1B493B9D" w14:textId="77777777" w:rsidTr="00030162">
        <w:trPr>
          <w:jc w:val="center"/>
        </w:trPr>
        <w:tc>
          <w:tcPr>
            <w:tcW w:w="5046" w:type="dxa"/>
            <w:shd w:val="clear" w:color="auto" w:fill="FCFCFD"/>
            <w:tcMar>
              <w:top w:w="90" w:type="dxa"/>
              <w:left w:w="95" w:type="dxa"/>
              <w:bottom w:w="90" w:type="dxa"/>
              <w:right w:w="95" w:type="dxa"/>
            </w:tcMar>
            <w:vAlign w:val="center"/>
          </w:tcPr>
          <w:p w14:paraId="68EF8C19" w14:textId="77777777" w:rsidR="002E53CB" w:rsidRPr="0056477B" w:rsidRDefault="00000000">
            <w:pPr>
              <w:spacing w:after="0" w:line="245" w:lineRule="auto"/>
              <w:jc w:val="center"/>
              <w:rPr>
                <w:lang w:val="fr-FR"/>
              </w:rPr>
            </w:pPr>
            <w:r w:rsidRPr="0056477B">
              <w:rPr>
                <w:b/>
                <w:color w:val="2F2A78"/>
                <w:sz w:val="19"/>
                <w:lang w:val="fr-FR"/>
              </w:rPr>
              <w:t>Laboratoire / ED</w:t>
            </w:r>
          </w:p>
        </w:tc>
        <w:tc>
          <w:tcPr>
            <w:tcW w:w="5046" w:type="dxa"/>
            <w:shd w:val="clear" w:color="auto" w:fill="FCFCFD"/>
            <w:tcMar>
              <w:top w:w="90" w:type="dxa"/>
              <w:left w:w="95" w:type="dxa"/>
              <w:bottom w:w="90" w:type="dxa"/>
              <w:right w:w="95" w:type="dxa"/>
            </w:tcMar>
            <w:vAlign w:val="center"/>
          </w:tcPr>
          <w:p w14:paraId="48DE82B5" w14:textId="4781D79E" w:rsidR="002E53CB" w:rsidRPr="0056477B" w:rsidRDefault="00000000">
            <w:pPr>
              <w:spacing w:after="0" w:line="245" w:lineRule="auto"/>
              <w:rPr>
                <w:lang w:val="fr-FR"/>
              </w:rPr>
            </w:pPr>
            <w:r w:rsidRPr="0056477B">
              <w:rPr>
                <w:sz w:val="18"/>
                <w:lang w:val="fr-FR"/>
              </w:rPr>
              <w:t>Le laboratoire académique doit être rattaché à une école doctorale. L’inscription en 1</w:t>
            </w:r>
            <w:r w:rsidR="00B70EA3" w:rsidRPr="0056477B">
              <w:rPr>
                <w:sz w:val="18"/>
                <w:vertAlign w:val="superscript"/>
                <w:lang w:val="fr-FR"/>
              </w:rPr>
              <w:t>ère</w:t>
            </w:r>
            <w:r w:rsidR="00B70EA3" w:rsidRPr="0056477B">
              <w:rPr>
                <w:sz w:val="18"/>
                <w:lang w:val="fr-FR"/>
              </w:rPr>
              <w:t xml:space="preserve"> </w:t>
            </w:r>
            <w:r w:rsidRPr="0056477B">
              <w:rPr>
                <w:sz w:val="18"/>
                <w:lang w:val="fr-FR"/>
              </w:rPr>
              <w:t>année est prononcée par l’établissement accrédité sur proposition du directeur de l’école doctorale, après avis du directeur de thèse et du directeur de l’unité de recherche. Une cotutelle internationale est possible si besoin.</w:t>
            </w:r>
          </w:p>
        </w:tc>
      </w:tr>
      <w:tr w:rsidR="002E53CB" w:rsidRPr="0056477B" w14:paraId="16178345" w14:textId="77777777" w:rsidTr="00030162">
        <w:trPr>
          <w:jc w:val="center"/>
        </w:trPr>
        <w:tc>
          <w:tcPr>
            <w:tcW w:w="5046" w:type="dxa"/>
            <w:shd w:val="clear" w:color="auto" w:fill="F7F8FB"/>
            <w:tcMar>
              <w:top w:w="90" w:type="dxa"/>
              <w:left w:w="95" w:type="dxa"/>
              <w:bottom w:w="90" w:type="dxa"/>
              <w:right w:w="95" w:type="dxa"/>
            </w:tcMar>
            <w:vAlign w:val="center"/>
          </w:tcPr>
          <w:p w14:paraId="6380B20D" w14:textId="77777777" w:rsidR="002E53CB" w:rsidRPr="0056477B" w:rsidRDefault="00000000">
            <w:pPr>
              <w:spacing w:after="0" w:line="245" w:lineRule="auto"/>
              <w:jc w:val="center"/>
              <w:rPr>
                <w:lang w:val="fr-FR"/>
              </w:rPr>
            </w:pPr>
            <w:r w:rsidRPr="0056477B">
              <w:rPr>
                <w:b/>
                <w:color w:val="2F2A78"/>
                <w:sz w:val="19"/>
                <w:lang w:val="fr-FR"/>
              </w:rPr>
              <w:t>Instruction</w:t>
            </w:r>
          </w:p>
        </w:tc>
        <w:tc>
          <w:tcPr>
            <w:tcW w:w="5046" w:type="dxa"/>
            <w:shd w:val="clear" w:color="auto" w:fill="F7F8FB"/>
            <w:tcMar>
              <w:top w:w="90" w:type="dxa"/>
              <w:left w:w="95" w:type="dxa"/>
              <w:bottom w:w="90" w:type="dxa"/>
              <w:right w:w="95" w:type="dxa"/>
            </w:tcMar>
            <w:vAlign w:val="center"/>
          </w:tcPr>
          <w:p w14:paraId="5B3B8984" w14:textId="64F51BFA" w:rsidR="002E53CB" w:rsidRPr="0056477B" w:rsidRDefault="00000000">
            <w:pPr>
              <w:spacing w:after="0" w:line="245" w:lineRule="auto"/>
              <w:rPr>
                <w:lang w:val="fr-FR"/>
              </w:rPr>
            </w:pPr>
            <w:r w:rsidRPr="0056477B">
              <w:rPr>
                <w:sz w:val="18"/>
                <w:lang w:val="fr-FR"/>
              </w:rPr>
              <w:t xml:space="preserve">Le dépôt ANRT est possible tout au long de l’année. Le dossier fait l’objet d’une expertise scientifique et d’une expertise socio-économique ; le comité d’évaluation et de suivi se réunit une fois par mois. Un rapport d’activité annuel </w:t>
            </w:r>
            <w:r w:rsidR="00B70EA3" w:rsidRPr="0056477B">
              <w:rPr>
                <w:sz w:val="18"/>
                <w:lang w:val="fr-FR"/>
              </w:rPr>
              <w:t>sera</w:t>
            </w:r>
            <w:r w:rsidRPr="0056477B">
              <w:rPr>
                <w:sz w:val="18"/>
                <w:lang w:val="fr-FR"/>
              </w:rPr>
              <w:t xml:space="preserve"> transmis à l’ANRT.</w:t>
            </w:r>
          </w:p>
        </w:tc>
      </w:tr>
    </w:tbl>
    <w:p w14:paraId="1F194349" w14:textId="6275F2BA" w:rsidR="00030162" w:rsidRPr="0056477B" w:rsidRDefault="00030162" w:rsidP="00030162">
      <w:pPr>
        <w:keepNext/>
        <w:pBdr>
          <w:bottom w:val="single" w:sz="8" w:space="1" w:color="D67D87"/>
        </w:pBdr>
        <w:spacing w:before="140" w:line="240" w:lineRule="auto"/>
        <w:rPr>
          <w:lang w:val="fr-FR"/>
        </w:rPr>
      </w:pPr>
      <w:r>
        <w:rPr>
          <w:b/>
          <w:color w:val="2F2A78"/>
          <w:sz w:val="27"/>
          <w:lang w:val="fr-FR"/>
        </w:rPr>
        <w:t>Contexte et opportunités professionnelles</w:t>
      </w:r>
    </w:p>
    <w:tbl>
      <w:tblPr>
        <w:tblW w:w="10055" w:type="dxa"/>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10055"/>
      </w:tblGrid>
      <w:tr w:rsidR="00030162" w:rsidRPr="004812B4" w14:paraId="3CF40232" w14:textId="77777777" w:rsidTr="00030162">
        <w:trPr>
          <w:jc w:val="center"/>
        </w:trPr>
        <w:tc>
          <w:tcPr>
            <w:tcW w:w="10055" w:type="dxa"/>
            <w:shd w:val="clear" w:color="auto" w:fill="FAF2F3"/>
            <w:tcMar>
              <w:top w:w="95" w:type="dxa"/>
              <w:left w:w="120" w:type="dxa"/>
              <w:bottom w:w="95" w:type="dxa"/>
              <w:right w:w="120" w:type="dxa"/>
            </w:tcMar>
            <w:vAlign w:val="center"/>
          </w:tcPr>
          <w:p w14:paraId="395B9903" w14:textId="77777777" w:rsidR="00030162" w:rsidRDefault="00030162" w:rsidP="0036686E">
            <w:pPr>
              <w:spacing w:after="20"/>
              <w:ind w:left="142" w:hanging="113"/>
              <w:rPr>
                <w:sz w:val="19"/>
                <w:lang w:val="fr-FR"/>
              </w:rPr>
            </w:pPr>
            <w:r w:rsidRPr="00030162">
              <w:rPr>
                <w:sz w:val="19"/>
                <w:lang w:val="fr-FR"/>
              </w:rPr>
              <w:t>La Filière offre au futur doctorant ou à la future doctorante un écosystème d'une rare densité institutionnelle.</w:t>
            </w:r>
          </w:p>
          <w:p w14:paraId="39D815E4" w14:textId="77777777" w:rsidR="00030162" w:rsidRDefault="00030162" w:rsidP="0036686E">
            <w:pPr>
              <w:spacing w:after="20"/>
              <w:ind w:left="142" w:hanging="113"/>
              <w:rPr>
                <w:sz w:val="19"/>
                <w:lang w:val="fr-FR"/>
              </w:rPr>
            </w:pPr>
          </w:p>
          <w:p w14:paraId="67B34A32" w14:textId="77777777" w:rsidR="00030162" w:rsidRDefault="00030162" w:rsidP="0036686E">
            <w:pPr>
              <w:spacing w:after="20"/>
              <w:ind w:left="142" w:hanging="113"/>
              <w:rPr>
                <w:sz w:val="19"/>
                <w:lang w:val="fr-FR"/>
              </w:rPr>
            </w:pPr>
            <w:r w:rsidRPr="00030162">
              <w:rPr>
                <w:sz w:val="19"/>
                <w:lang w:val="fr-FR"/>
              </w:rPr>
              <w:t>Sa gouvernance rassemble, côté public, l'Institut National du Cancer, la Plateforme des données de santé et l'Agence de l'innovation en santé ; côté privé, neuf grands industriels de la santé — un collectif appelé à s'élargir —, France Biotech et l'Alliance pour la recherche et l'innovation des industries de la santé.</w:t>
            </w:r>
          </w:p>
          <w:p w14:paraId="7857CDF8" w14:textId="77777777" w:rsidR="00030162" w:rsidRDefault="00030162" w:rsidP="0036686E">
            <w:pPr>
              <w:spacing w:after="20"/>
              <w:ind w:left="142" w:hanging="113"/>
              <w:rPr>
                <w:sz w:val="19"/>
                <w:lang w:val="fr-FR"/>
              </w:rPr>
            </w:pPr>
          </w:p>
          <w:p w14:paraId="19A85F55" w14:textId="77777777" w:rsidR="00030162" w:rsidRDefault="00030162" w:rsidP="0036686E">
            <w:pPr>
              <w:spacing w:after="20"/>
              <w:ind w:left="142" w:hanging="113"/>
              <w:rPr>
                <w:sz w:val="19"/>
                <w:lang w:val="fr-FR"/>
              </w:rPr>
            </w:pPr>
            <w:r w:rsidRPr="00030162">
              <w:rPr>
                <w:sz w:val="19"/>
                <w:lang w:val="fr-FR"/>
              </w:rPr>
              <w:t>Le projet DANTE se situe, quant à lui, aux avant-postes des pratiques émergentes en matière d'extraction automatisée de données cliniques et d'évaluation de leur qualité probante : des compétences que l'ensemble des acteurs de l'écosystème santé-données cherche aujourd'hui à identifier et à fidéliser.</w:t>
            </w:r>
          </w:p>
          <w:p w14:paraId="0D900445" w14:textId="77777777" w:rsidR="00030162" w:rsidRDefault="00030162" w:rsidP="0036686E">
            <w:pPr>
              <w:spacing w:after="20"/>
              <w:ind w:left="142" w:hanging="113"/>
              <w:rPr>
                <w:sz w:val="19"/>
                <w:lang w:val="fr-FR"/>
              </w:rPr>
            </w:pPr>
          </w:p>
          <w:p w14:paraId="2383F567" w14:textId="323255BF" w:rsidR="00030162" w:rsidRPr="0056477B" w:rsidRDefault="00030162" w:rsidP="0036686E">
            <w:pPr>
              <w:spacing w:after="20"/>
              <w:ind w:left="142" w:hanging="113"/>
              <w:rPr>
                <w:lang w:val="fr-FR"/>
              </w:rPr>
            </w:pPr>
            <w:r w:rsidRPr="00030162">
              <w:rPr>
                <w:sz w:val="19"/>
                <w:lang w:val="fr-FR"/>
              </w:rPr>
              <w:t xml:space="preserve">Toute personne qui acquerra une maîtrise approfondie de ces enjeux — méthodologiques, technologiques et réglementaires — sera en mesure de répondre à une demande forte et croissante, aussi bien dans le secteur académique </w:t>
            </w:r>
            <w:r>
              <w:rPr>
                <w:sz w:val="19"/>
                <w:lang w:val="fr-FR"/>
              </w:rPr>
              <w:t xml:space="preserve">et </w:t>
            </w:r>
            <w:r w:rsidRPr="00030162">
              <w:rPr>
                <w:sz w:val="19"/>
                <w:lang w:val="fr-FR"/>
              </w:rPr>
              <w:t>publi</w:t>
            </w:r>
            <w:r>
              <w:rPr>
                <w:sz w:val="19"/>
                <w:lang w:val="fr-FR"/>
              </w:rPr>
              <w:t>c</w:t>
            </w:r>
            <w:r w:rsidRPr="00030162">
              <w:rPr>
                <w:sz w:val="19"/>
                <w:lang w:val="fr-FR"/>
              </w:rPr>
              <w:t xml:space="preserve"> </w:t>
            </w:r>
            <w:r w:rsidRPr="00030162">
              <w:rPr>
                <w:sz w:val="19"/>
                <w:lang w:val="fr-FR"/>
              </w:rPr>
              <w:t>que dans l'industrie pharmaceutique.</w:t>
            </w:r>
          </w:p>
        </w:tc>
      </w:tr>
    </w:tbl>
    <w:p w14:paraId="7805069C" w14:textId="77777777" w:rsidR="00030162" w:rsidRPr="0056477B" w:rsidRDefault="00030162" w:rsidP="00030162">
      <w:pPr>
        <w:keepNext/>
        <w:pBdr>
          <w:bottom w:val="single" w:sz="8" w:space="1" w:color="D67D87"/>
        </w:pBdr>
        <w:spacing w:before="140" w:line="240" w:lineRule="auto"/>
        <w:rPr>
          <w:lang w:val="fr-FR"/>
        </w:rPr>
      </w:pPr>
      <w:r w:rsidRPr="0056477B">
        <w:rPr>
          <w:b/>
          <w:color w:val="2F2A78"/>
          <w:sz w:val="27"/>
          <w:lang w:val="fr-FR"/>
        </w:rPr>
        <w:t>Manifestations d’intérêt attendues</w:t>
      </w:r>
    </w:p>
    <w:tbl>
      <w:tblPr>
        <w:tblW w:w="0" w:type="auto"/>
        <w:jc w:val="center"/>
        <w:tblBorders>
          <w:top w:val="single" w:sz="8" w:space="0" w:color="D9DDE3"/>
          <w:left w:val="single" w:sz="8" w:space="0" w:color="D9DDE3"/>
          <w:bottom w:val="single" w:sz="8" w:space="0" w:color="D9DDE3"/>
          <w:right w:val="single" w:sz="8" w:space="0" w:color="D9DDE3"/>
        </w:tblBorders>
        <w:tblLayout w:type="fixed"/>
        <w:tblLook w:val="04A0" w:firstRow="1" w:lastRow="0" w:firstColumn="1" w:lastColumn="0" w:noHBand="0" w:noVBand="1"/>
      </w:tblPr>
      <w:tblGrid>
        <w:gridCol w:w="5046"/>
        <w:gridCol w:w="5046"/>
      </w:tblGrid>
      <w:tr w:rsidR="00030162" w:rsidRPr="004812B4" w14:paraId="1512B92F" w14:textId="77777777" w:rsidTr="0036686E">
        <w:trPr>
          <w:jc w:val="center"/>
        </w:trPr>
        <w:tc>
          <w:tcPr>
            <w:tcW w:w="5046" w:type="dxa"/>
            <w:shd w:val="clear" w:color="auto" w:fill="FAF2F3"/>
            <w:tcMar>
              <w:top w:w="95" w:type="dxa"/>
              <w:left w:w="120" w:type="dxa"/>
              <w:bottom w:w="95" w:type="dxa"/>
              <w:right w:w="120" w:type="dxa"/>
            </w:tcMar>
            <w:vAlign w:val="center"/>
          </w:tcPr>
          <w:p w14:paraId="73DB95B1" w14:textId="77777777" w:rsidR="00030162" w:rsidRPr="0056477B" w:rsidRDefault="00030162" w:rsidP="0036686E">
            <w:pPr>
              <w:rPr>
                <w:lang w:val="fr-FR"/>
              </w:rPr>
            </w:pPr>
            <w:r w:rsidRPr="0056477B">
              <w:rPr>
                <w:b/>
                <w:color w:val="2F2A78"/>
                <w:sz w:val="21"/>
                <w:lang w:val="fr-FR"/>
              </w:rPr>
              <w:t>Pour les écoles doctorales / laboratoires</w:t>
            </w:r>
          </w:p>
          <w:p w14:paraId="4A0A8D6E" w14:textId="77777777" w:rsidR="00030162" w:rsidRPr="0056477B" w:rsidRDefault="00030162" w:rsidP="0036686E">
            <w:pPr>
              <w:spacing w:after="20"/>
              <w:ind w:left="142" w:hanging="113"/>
              <w:rPr>
                <w:lang w:val="fr-FR"/>
              </w:rPr>
            </w:pPr>
            <w:r w:rsidRPr="0056477B">
              <w:rPr>
                <w:sz w:val="19"/>
                <w:lang w:val="fr-FR"/>
              </w:rPr>
              <w:t>proposition de rattachement (ED, unité, direction de thèse) ;</w:t>
            </w:r>
          </w:p>
          <w:p w14:paraId="11E07E9E" w14:textId="77777777" w:rsidR="00030162" w:rsidRPr="0056477B" w:rsidRDefault="00030162" w:rsidP="0036686E">
            <w:pPr>
              <w:spacing w:after="20"/>
              <w:ind w:left="142" w:hanging="113"/>
              <w:rPr>
                <w:lang w:val="fr-FR"/>
              </w:rPr>
            </w:pPr>
            <w:r w:rsidRPr="0056477B">
              <w:rPr>
                <w:sz w:val="19"/>
                <w:lang w:val="fr-FR"/>
              </w:rPr>
              <w:t>positionnement scientifique sur l’un des sujets ci-dessus ;</w:t>
            </w:r>
          </w:p>
          <w:p w14:paraId="6C663C14" w14:textId="77777777" w:rsidR="00030162" w:rsidRPr="0056477B" w:rsidRDefault="00030162" w:rsidP="0036686E">
            <w:pPr>
              <w:spacing w:after="20"/>
              <w:ind w:left="142" w:hanging="113"/>
              <w:rPr>
                <w:lang w:val="fr-FR"/>
              </w:rPr>
            </w:pPr>
            <w:r w:rsidRPr="0056477B">
              <w:rPr>
                <w:sz w:val="19"/>
                <w:lang w:val="fr-FR"/>
              </w:rPr>
              <w:t>conditions d’accueil, d’encadrement et de formation doctorale.</w:t>
            </w:r>
          </w:p>
        </w:tc>
        <w:tc>
          <w:tcPr>
            <w:tcW w:w="5046" w:type="dxa"/>
            <w:shd w:val="clear" w:color="auto" w:fill="FCFCFD"/>
            <w:tcMar>
              <w:top w:w="95" w:type="dxa"/>
              <w:left w:w="120" w:type="dxa"/>
              <w:bottom w:w="95" w:type="dxa"/>
              <w:right w:w="120" w:type="dxa"/>
            </w:tcMar>
            <w:vAlign w:val="center"/>
          </w:tcPr>
          <w:p w14:paraId="291BAC73" w14:textId="77777777" w:rsidR="00030162" w:rsidRPr="0056477B" w:rsidRDefault="00030162" w:rsidP="0036686E">
            <w:pPr>
              <w:rPr>
                <w:lang w:val="fr-FR"/>
              </w:rPr>
            </w:pPr>
            <w:r w:rsidRPr="0056477B">
              <w:rPr>
                <w:b/>
                <w:color w:val="2F2A78"/>
                <w:sz w:val="21"/>
                <w:lang w:val="fr-FR"/>
              </w:rPr>
              <w:t>Pour les candidates / candidats</w:t>
            </w:r>
          </w:p>
          <w:p w14:paraId="25B381E2" w14:textId="77777777" w:rsidR="00030162" w:rsidRPr="0056477B" w:rsidRDefault="00030162" w:rsidP="0036686E">
            <w:pPr>
              <w:spacing w:after="20"/>
              <w:ind w:left="142" w:hanging="113"/>
              <w:rPr>
                <w:lang w:val="fr-FR"/>
              </w:rPr>
            </w:pPr>
            <w:r w:rsidRPr="0056477B">
              <w:rPr>
                <w:sz w:val="19"/>
                <w:lang w:val="fr-FR"/>
              </w:rPr>
              <w:t>CV détaillé et relevés / diplôme de master ;</w:t>
            </w:r>
          </w:p>
          <w:p w14:paraId="728A873A" w14:textId="77777777" w:rsidR="00030162" w:rsidRPr="0056477B" w:rsidRDefault="00030162" w:rsidP="0036686E">
            <w:pPr>
              <w:spacing w:after="20"/>
              <w:ind w:left="142" w:hanging="113"/>
              <w:rPr>
                <w:lang w:val="fr-FR"/>
              </w:rPr>
            </w:pPr>
            <w:r w:rsidRPr="0056477B">
              <w:rPr>
                <w:sz w:val="19"/>
                <w:lang w:val="fr-FR"/>
              </w:rPr>
              <w:t>courte note d’intérêt (1 à 2 pages) précisant le sujet visé ;</w:t>
            </w:r>
          </w:p>
          <w:p w14:paraId="4772AAE4" w14:textId="77777777" w:rsidR="00030162" w:rsidRPr="0056477B" w:rsidRDefault="00030162" w:rsidP="0036686E">
            <w:pPr>
              <w:spacing w:after="20"/>
              <w:ind w:left="142" w:hanging="113"/>
              <w:rPr>
                <w:lang w:val="fr-FR"/>
              </w:rPr>
            </w:pPr>
            <w:r w:rsidRPr="0056477B">
              <w:rPr>
                <w:sz w:val="19"/>
                <w:lang w:val="fr-FR"/>
              </w:rPr>
              <w:t>éventuels travaux antérieurs : mémoire, stage, article, code ou prototype.</w:t>
            </w:r>
          </w:p>
        </w:tc>
      </w:tr>
    </w:tbl>
    <w:p w14:paraId="2B1AC441" w14:textId="290E0E36" w:rsidR="002E53CB" w:rsidRPr="0056477B" w:rsidRDefault="00000000">
      <w:pPr>
        <w:spacing w:before="100" w:after="0" w:line="247" w:lineRule="auto"/>
        <w:rPr>
          <w:lang w:val="fr-FR"/>
        </w:rPr>
      </w:pPr>
      <w:r w:rsidRPr="0056477B">
        <w:rPr>
          <w:b/>
          <w:color w:val="2F2A78"/>
          <w:lang w:val="fr-FR"/>
        </w:rPr>
        <w:t xml:space="preserve">Contact de diffusion / réception des manifestations d’intérêt : </w:t>
      </w:r>
      <w:r w:rsidR="00B70EA3" w:rsidRPr="0056477B">
        <w:rPr>
          <w:i/>
          <w:color w:val="D67D87"/>
          <w:lang w:val="fr-FR"/>
        </w:rPr>
        <w:t>lucas.elle@filiere-ia.fr</w:t>
      </w:r>
    </w:p>
    <w:p w14:paraId="3CE7BDAA" w14:textId="61EDB983" w:rsidR="002E53CB" w:rsidRPr="0056477B" w:rsidRDefault="002E53CB">
      <w:pPr>
        <w:rPr>
          <w:lang w:val="fr-FR"/>
        </w:rPr>
      </w:pPr>
    </w:p>
    <w:p w14:paraId="21640A9C" w14:textId="77777777" w:rsidR="002E53CB" w:rsidRPr="0056477B" w:rsidRDefault="00000000">
      <w:pPr>
        <w:keepNext/>
        <w:pBdr>
          <w:bottom w:val="single" w:sz="8" w:space="1" w:color="D67D87"/>
        </w:pBdr>
        <w:spacing w:after="80" w:line="240" w:lineRule="auto"/>
        <w:rPr>
          <w:lang w:val="fr-FR"/>
        </w:rPr>
      </w:pPr>
      <w:r w:rsidRPr="0056477B">
        <w:rPr>
          <w:b/>
          <w:color w:val="2F2A78"/>
          <w:sz w:val="28"/>
          <w:lang w:val="fr-FR"/>
        </w:rPr>
        <w:t>Annexe - Références scientifiques clés</w:t>
      </w:r>
    </w:p>
    <w:p w14:paraId="15F7D313" w14:textId="77777777" w:rsidR="002E53CB" w:rsidRPr="004812B4" w:rsidRDefault="00000000">
      <w:pPr>
        <w:keepLines/>
        <w:spacing w:after="20" w:line="240" w:lineRule="auto"/>
        <w:ind w:left="283" w:hanging="283"/>
        <w:rPr>
          <w:lang w:val="en-GB"/>
        </w:rPr>
      </w:pPr>
      <w:r w:rsidRPr="004812B4">
        <w:rPr>
          <w:sz w:val="16"/>
          <w:lang w:val="en-GB"/>
        </w:rPr>
        <w:t>[1] Blacketer C, DeFalco FJ, Ryan PB, Rijnbeek PR. Increasing trust in real-world evidence through evaluation of observational data quality. J Am Med Inform Assoc. 2021;28(10):2251-2257. doi:10.1093/jamia/ocab132.</w:t>
      </w:r>
    </w:p>
    <w:p w14:paraId="5F692F8E" w14:textId="77777777" w:rsidR="002E53CB" w:rsidRPr="004812B4" w:rsidRDefault="00000000">
      <w:pPr>
        <w:keepLines/>
        <w:spacing w:after="20" w:line="240" w:lineRule="auto"/>
        <w:ind w:left="283" w:hanging="283"/>
        <w:rPr>
          <w:lang w:val="en-GB"/>
        </w:rPr>
      </w:pPr>
      <w:r w:rsidRPr="004812B4">
        <w:rPr>
          <w:sz w:val="16"/>
          <w:lang w:val="en-GB"/>
        </w:rPr>
        <w:t>[2] Estevez M, Benedum CM, Jiang C, et al. Considerations for the Use of Machine Learning Extracted Real-World Data to Support Evidence Generation: A Research-Centric Evaluation Framework. Cancers. 2022;14(13):3063. doi:10.3390/cancers14133063.</w:t>
      </w:r>
    </w:p>
    <w:p w14:paraId="61524881" w14:textId="77777777" w:rsidR="002E53CB" w:rsidRPr="004812B4" w:rsidRDefault="00000000">
      <w:pPr>
        <w:keepLines/>
        <w:spacing w:after="20" w:line="240" w:lineRule="auto"/>
        <w:ind w:left="283" w:hanging="283"/>
        <w:rPr>
          <w:lang w:val="en-GB"/>
        </w:rPr>
      </w:pPr>
      <w:r w:rsidRPr="004812B4">
        <w:rPr>
          <w:sz w:val="16"/>
          <w:lang w:val="en-GB"/>
        </w:rPr>
        <w:t>[3] Benedum CM, Sondhi A, Fidyk E, et al. Replication of Real-World Evidence in Oncology Using Electronic Health Record Data Extracted by Machine Learning. Cancers. 2023;15(6):1853. doi:10.3390/cancers15061853.</w:t>
      </w:r>
    </w:p>
    <w:p w14:paraId="2CB4689D" w14:textId="77777777" w:rsidR="002E53CB" w:rsidRPr="004812B4" w:rsidRDefault="00000000">
      <w:pPr>
        <w:keepLines/>
        <w:spacing w:after="20" w:line="240" w:lineRule="auto"/>
        <w:ind w:left="283" w:hanging="283"/>
        <w:rPr>
          <w:lang w:val="en-GB"/>
        </w:rPr>
      </w:pPr>
      <w:r w:rsidRPr="004812B4">
        <w:rPr>
          <w:sz w:val="16"/>
          <w:lang w:val="en-GB"/>
        </w:rPr>
        <w:t>[4] Liu L, Blake V, Barman M, et al. Using natural language processing to extract information from clinical text in electronic medical records for populating clinical registries: a systematic review. J Am Med Inform Assoc. 2025;33(2):484-499. doi:10.1093/jamia/ocaf176.</w:t>
      </w:r>
    </w:p>
    <w:p w14:paraId="201E0A28" w14:textId="77777777" w:rsidR="002E53CB" w:rsidRPr="004812B4" w:rsidRDefault="00000000">
      <w:pPr>
        <w:keepLines/>
        <w:spacing w:after="20" w:line="240" w:lineRule="auto"/>
        <w:ind w:left="283" w:hanging="283"/>
        <w:rPr>
          <w:lang w:val="en-GB"/>
        </w:rPr>
      </w:pPr>
      <w:r w:rsidRPr="004812B4">
        <w:rPr>
          <w:sz w:val="16"/>
          <w:lang w:val="en-GB"/>
        </w:rPr>
        <w:t>[5] Keloth VK, Banda JM, Gurley M, et al. Representing and utilizing clinical textual data for real world studies: An OHDSI approach. J Biomed Inform. 2023;142:104343. doi:10.1016/j.jbi.2023.104343.</w:t>
      </w:r>
    </w:p>
    <w:p w14:paraId="3B786012" w14:textId="77777777" w:rsidR="002E53CB" w:rsidRPr="004812B4" w:rsidRDefault="00000000">
      <w:pPr>
        <w:keepLines/>
        <w:spacing w:after="20" w:line="240" w:lineRule="auto"/>
        <w:ind w:left="283" w:hanging="283"/>
        <w:rPr>
          <w:lang w:val="en-GB"/>
        </w:rPr>
      </w:pPr>
      <w:r w:rsidRPr="004812B4">
        <w:rPr>
          <w:sz w:val="16"/>
          <w:lang w:val="en-GB"/>
        </w:rPr>
        <w:t>[6] Wang L, Wen A, Fu S, et al. A scoping review of OMOP CDM adoption for cancer research using real world data. npj Digit Med. 2025;8:189. doi:10.1038/s41746-025-01581-7.</w:t>
      </w:r>
    </w:p>
    <w:p w14:paraId="140A6D94" w14:textId="77777777" w:rsidR="002E53CB" w:rsidRPr="004812B4" w:rsidRDefault="00000000">
      <w:pPr>
        <w:keepLines/>
        <w:spacing w:after="20" w:line="240" w:lineRule="auto"/>
        <w:ind w:left="283" w:hanging="283"/>
        <w:rPr>
          <w:lang w:val="en-GB"/>
        </w:rPr>
      </w:pPr>
      <w:r w:rsidRPr="004812B4">
        <w:rPr>
          <w:sz w:val="16"/>
          <w:lang w:val="en-GB"/>
        </w:rPr>
        <w:t>[7] Johns M, Baum L, Prasser F. Tracking provenance in clinical data warehouses for quality management. Int J Med Inform. 2025;193:105690. doi:10.1016/j.ijmedinf.2024.105690.</w:t>
      </w:r>
    </w:p>
    <w:p w14:paraId="6F1A94D7" w14:textId="77777777" w:rsidR="002E53CB" w:rsidRPr="004812B4" w:rsidRDefault="00000000">
      <w:pPr>
        <w:keepLines/>
        <w:spacing w:after="20" w:line="240" w:lineRule="auto"/>
        <w:ind w:left="283" w:hanging="283"/>
        <w:rPr>
          <w:lang w:val="en-GB"/>
        </w:rPr>
      </w:pPr>
      <w:r w:rsidRPr="004812B4">
        <w:rPr>
          <w:sz w:val="16"/>
          <w:lang w:val="en-GB"/>
        </w:rPr>
        <w:t>[8] Swaminathan A, Lopez I, Wang W, et al. Selective prediction for extracting unstructured clinical data. J Am Med Inform Assoc. 2024;31(1):188-197. doi:10.1093/jamia/ocad182.</w:t>
      </w:r>
    </w:p>
    <w:p w14:paraId="69CCE048" w14:textId="77777777" w:rsidR="002E53CB" w:rsidRPr="0056477B" w:rsidRDefault="00000000">
      <w:pPr>
        <w:keepLines/>
        <w:spacing w:after="20" w:line="240" w:lineRule="auto"/>
        <w:ind w:left="283" w:hanging="283"/>
        <w:rPr>
          <w:lang w:val="fr-FR"/>
        </w:rPr>
      </w:pPr>
      <w:r w:rsidRPr="004812B4">
        <w:rPr>
          <w:sz w:val="16"/>
          <w:lang w:val="en-GB"/>
        </w:rPr>
        <w:t xml:space="preserve">[9] Goodman K, Cook C, Weatherbee D, et al. Automating Data Entry from Electronic Health Record to Electronic Data Capture Using Trusted Cloud-based Application in Multisite Cancer Clinical Trials. </w:t>
      </w:r>
      <w:r w:rsidRPr="0056477B">
        <w:rPr>
          <w:sz w:val="16"/>
          <w:lang w:val="fr-FR"/>
        </w:rPr>
        <w:t>J Soc Clin Data Manag. 2025;5(1):1-16. doi:10.47912/jscdm.371.</w:t>
      </w:r>
    </w:p>
    <w:p w14:paraId="73C524D0" w14:textId="77777777" w:rsidR="002E53CB" w:rsidRPr="004812B4" w:rsidRDefault="00000000">
      <w:pPr>
        <w:keepLines/>
        <w:spacing w:after="20" w:line="240" w:lineRule="auto"/>
        <w:ind w:left="283" w:hanging="283"/>
        <w:rPr>
          <w:lang w:val="en-GB"/>
        </w:rPr>
      </w:pPr>
      <w:r w:rsidRPr="0056477B">
        <w:rPr>
          <w:sz w:val="16"/>
          <w:lang w:val="fr-FR"/>
        </w:rPr>
        <w:t xml:space="preserve">[10] Aldea M, Zullo L, Levrat V, et al. </w:t>
      </w:r>
      <w:r w:rsidRPr="004812B4">
        <w:rPr>
          <w:sz w:val="16"/>
          <w:lang w:val="en-GB"/>
        </w:rPr>
        <w:t>Next-Generation Multicenter Studies: Using Artificial Intelligence to Automatically Process Unstructured Health Records of Patients with Lung Cancer across Multiple Institutions. Ann Oncol. 2026;37(4):490-502. doi:10.1016/j.annonc.2025.12.006.</w:t>
      </w:r>
    </w:p>
    <w:p w14:paraId="6D2226A9" w14:textId="77777777" w:rsidR="002E53CB" w:rsidRPr="004812B4" w:rsidRDefault="00000000">
      <w:pPr>
        <w:keepLines/>
        <w:spacing w:after="20" w:line="240" w:lineRule="auto"/>
        <w:ind w:left="283" w:hanging="283"/>
        <w:rPr>
          <w:lang w:val="en-GB"/>
        </w:rPr>
      </w:pPr>
      <w:r w:rsidRPr="004812B4">
        <w:rPr>
          <w:sz w:val="16"/>
          <w:lang w:val="en-GB"/>
        </w:rPr>
        <w:t>[11] El Arab RA, Abu-Mahfouz MS, Abuadas FH, et al. Bridging the Gap: From AI Success in Clinical Trials to Real-World Healthcare Implementation - A Narrative Review. Healthcare. 2025;13(7):701. doi:10.3390/healthcare13070701.</w:t>
      </w:r>
    </w:p>
    <w:p w14:paraId="52321F33" w14:textId="77777777" w:rsidR="002E53CB" w:rsidRPr="0056477B" w:rsidRDefault="00000000">
      <w:pPr>
        <w:keepNext/>
        <w:pBdr>
          <w:bottom w:val="single" w:sz="8" w:space="1" w:color="D67D87"/>
        </w:pBdr>
        <w:spacing w:before="120" w:line="240" w:lineRule="auto"/>
        <w:rPr>
          <w:lang w:val="fr-FR"/>
        </w:rPr>
      </w:pPr>
      <w:r w:rsidRPr="0056477B">
        <w:rPr>
          <w:b/>
          <w:color w:val="2F2A78"/>
          <w:sz w:val="25"/>
          <w:lang w:val="fr-FR"/>
        </w:rPr>
        <w:t>Repères institutionnels utiles</w:t>
      </w:r>
    </w:p>
    <w:p w14:paraId="67E3C077" w14:textId="77777777" w:rsidR="002E53CB" w:rsidRPr="0056477B" w:rsidRDefault="00000000">
      <w:pPr>
        <w:spacing w:after="20" w:line="240" w:lineRule="auto"/>
        <w:ind w:left="142" w:hanging="113"/>
        <w:rPr>
          <w:lang w:val="fr-FR"/>
        </w:rPr>
      </w:pPr>
      <w:r w:rsidRPr="0056477B">
        <w:rPr>
          <w:color w:val="5C6470"/>
          <w:sz w:val="16"/>
          <w:lang w:val="fr-FR"/>
        </w:rPr>
        <w:t>ANRT - Dispositif CIFRE, critères d’octroi, calendrier d’instruction et guides de dépôt (consultés en avril 2026).</w:t>
      </w:r>
    </w:p>
    <w:p w14:paraId="275B8660" w14:textId="77777777" w:rsidR="002E53CB" w:rsidRPr="0056477B" w:rsidRDefault="00000000">
      <w:pPr>
        <w:spacing w:after="20" w:line="240" w:lineRule="auto"/>
        <w:ind w:left="142" w:hanging="113"/>
        <w:rPr>
          <w:lang w:val="fr-FR"/>
        </w:rPr>
      </w:pPr>
      <w:r w:rsidRPr="0056477B">
        <w:rPr>
          <w:color w:val="5C6470"/>
          <w:sz w:val="16"/>
          <w:lang w:val="fr-FR"/>
        </w:rPr>
        <w:t>Arrêté du 25 mai 2016 modifié fixant le cadre national de la formation doctorale (articles 10, 11 et 14).</w:t>
      </w:r>
    </w:p>
    <w:p w14:paraId="7D3ECEFD" w14:textId="77777777" w:rsidR="002E53CB" w:rsidRPr="0056477B" w:rsidRDefault="00000000">
      <w:pPr>
        <w:spacing w:after="20" w:line="240" w:lineRule="auto"/>
        <w:ind w:left="142" w:hanging="113"/>
        <w:rPr>
          <w:lang w:val="fr-FR"/>
        </w:rPr>
      </w:pPr>
      <w:r w:rsidRPr="0056477B">
        <w:rPr>
          <w:color w:val="5C6470"/>
          <w:sz w:val="16"/>
          <w:lang w:val="fr-FR"/>
        </w:rPr>
        <w:t>FIAC - présentation institutionnelle de la filière et de sa gouvernance.</w:t>
      </w:r>
    </w:p>
    <w:p w14:paraId="6D97B000" w14:textId="77777777" w:rsidR="002E53CB" w:rsidRPr="0056477B" w:rsidRDefault="00000000">
      <w:pPr>
        <w:spacing w:after="20" w:line="240" w:lineRule="auto"/>
        <w:ind w:left="142" w:hanging="113"/>
        <w:rPr>
          <w:lang w:val="fr-FR"/>
        </w:rPr>
      </w:pPr>
      <w:r w:rsidRPr="0056477B">
        <w:rPr>
          <w:color w:val="5C6470"/>
          <w:sz w:val="16"/>
          <w:lang w:val="fr-FR"/>
        </w:rPr>
        <w:t>ANR / France 2030 - AMI « Nouvelles méthodologies de recherche clinique ».</w:t>
      </w:r>
    </w:p>
    <w:p w14:paraId="4252E12F" w14:textId="77777777" w:rsidR="00A04671" w:rsidRDefault="00A04671">
      <w:pPr>
        <w:rPr>
          <w:lang w:val="fr-FR"/>
        </w:rPr>
      </w:pPr>
    </w:p>
    <w:p w14:paraId="4EE4D9E2" w14:textId="77777777" w:rsidR="0056477B" w:rsidRPr="0056477B" w:rsidRDefault="0056477B" w:rsidP="0056477B">
      <w:pPr>
        <w:rPr>
          <w:lang w:val="fr-FR"/>
        </w:rPr>
      </w:pPr>
    </w:p>
    <w:p w14:paraId="3622D7A4" w14:textId="77777777" w:rsidR="0056477B" w:rsidRPr="0056477B" w:rsidRDefault="0056477B" w:rsidP="0056477B">
      <w:pPr>
        <w:rPr>
          <w:lang w:val="fr-FR"/>
        </w:rPr>
      </w:pPr>
    </w:p>
    <w:p w14:paraId="24F430D8" w14:textId="77777777" w:rsidR="0056477B" w:rsidRPr="0056477B" w:rsidRDefault="0056477B" w:rsidP="0056477B">
      <w:pPr>
        <w:rPr>
          <w:lang w:val="fr-FR"/>
        </w:rPr>
      </w:pPr>
    </w:p>
    <w:p w14:paraId="48CF5519" w14:textId="77777777" w:rsidR="0056477B" w:rsidRPr="0056477B" w:rsidRDefault="0056477B" w:rsidP="0056477B">
      <w:pPr>
        <w:rPr>
          <w:lang w:val="fr-FR"/>
        </w:rPr>
      </w:pPr>
    </w:p>
    <w:p w14:paraId="112C4390" w14:textId="77777777" w:rsidR="0056477B" w:rsidRDefault="0056477B" w:rsidP="0056477B">
      <w:pPr>
        <w:rPr>
          <w:lang w:val="fr-FR"/>
        </w:rPr>
      </w:pPr>
    </w:p>
    <w:p w14:paraId="31AB90B7" w14:textId="1DDB7C19" w:rsidR="0056477B" w:rsidRPr="0056477B" w:rsidRDefault="0056477B" w:rsidP="0056477B">
      <w:pPr>
        <w:tabs>
          <w:tab w:val="left" w:pos="9199"/>
        </w:tabs>
        <w:rPr>
          <w:lang w:val="fr-FR"/>
        </w:rPr>
      </w:pPr>
      <w:r>
        <w:rPr>
          <w:lang w:val="fr-FR"/>
        </w:rPr>
        <w:tab/>
      </w:r>
    </w:p>
    <w:sectPr w:rsidR="0056477B" w:rsidRPr="0056477B" w:rsidSect="00034616">
      <w:headerReference w:type="default" r:id="rId9"/>
      <w:footerReference w:type="default" r:id="rId10"/>
      <w:pgSz w:w="11906" w:h="16838"/>
      <w:pgMar w:top="794" w:right="907" w:bottom="709"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C82E" w14:textId="77777777" w:rsidR="00AA422B" w:rsidRDefault="00AA422B">
      <w:pPr>
        <w:spacing w:after="0" w:line="240" w:lineRule="auto"/>
      </w:pPr>
      <w:r>
        <w:separator/>
      </w:r>
    </w:p>
  </w:endnote>
  <w:endnote w:type="continuationSeparator" w:id="0">
    <w:p w14:paraId="66A40C46" w14:textId="77777777" w:rsidR="00AA422B" w:rsidRDefault="00AA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5313" w14:textId="77777777" w:rsidR="002E53CB" w:rsidRDefault="002E53CB">
    <w:pPr>
      <w:pStyle w:val="Pieddepage"/>
    </w:pPr>
  </w:p>
  <w:tbl>
    <w:tblPr>
      <w:tblW w:w="0" w:type="auto"/>
      <w:jc w:val="center"/>
      <w:tblBorders>
        <w:top w:val="single" w:sz="0" w:space="0" w:color="FFFFFF"/>
        <w:left w:val="single" w:sz="0" w:space="0" w:color="FFFFFF"/>
        <w:bottom w:val="single" w:sz="0" w:space="0" w:color="FFFFFF"/>
        <w:right w:val="single" w:sz="0" w:space="0" w:color="FFFFFF"/>
      </w:tblBorders>
      <w:tblLayout w:type="fixed"/>
      <w:tblLook w:val="04A0" w:firstRow="1" w:lastRow="0" w:firstColumn="1" w:lastColumn="0" w:noHBand="0" w:noVBand="1"/>
    </w:tblPr>
    <w:tblGrid>
      <w:gridCol w:w="5046"/>
      <w:gridCol w:w="5046"/>
    </w:tblGrid>
    <w:tr w:rsidR="002E53CB" w14:paraId="76EB5CED" w14:textId="77777777">
      <w:trPr>
        <w:jc w:val="center"/>
      </w:trPr>
      <w:tc>
        <w:tcPr>
          <w:tcW w:w="5046" w:type="dxa"/>
          <w:tcMar>
            <w:top w:w="0" w:type="dxa"/>
            <w:left w:w="0" w:type="dxa"/>
            <w:bottom w:w="0" w:type="dxa"/>
            <w:right w:w="0" w:type="dxa"/>
          </w:tcMar>
        </w:tcPr>
        <w:p w14:paraId="5AB9BD0B" w14:textId="15A1ED5B" w:rsidR="002E53CB" w:rsidRPr="000A3731" w:rsidRDefault="00000000">
          <w:pPr>
            <w:rPr>
              <w:lang w:val="fr-FR"/>
            </w:rPr>
          </w:pPr>
          <w:r w:rsidRPr="000A3731">
            <w:rPr>
              <w:color w:val="5C6470"/>
              <w:sz w:val="16"/>
              <w:lang w:val="fr-FR"/>
            </w:rPr>
            <w:t xml:space="preserve">Projet doctoral adossé à DANTE | </w:t>
          </w:r>
          <w:r w:rsidR="004812B4">
            <w:rPr>
              <w:color w:val="5C6470"/>
              <w:sz w:val="16"/>
              <w:lang w:val="fr-FR"/>
            </w:rPr>
            <w:t>Juin</w:t>
          </w:r>
          <w:r w:rsidRPr="000A3731">
            <w:rPr>
              <w:color w:val="5C6470"/>
              <w:sz w:val="16"/>
              <w:lang w:val="fr-FR"/>
            </w:rPr>
            <w:t xml:space="preserve"> 2026</w:t>
          </w:r>
        </w:p>
      </w:tc>
      <w:tc>
        <w:tcPr>
          <w:tcW w:w="5046" w:type="dxa"/>
          <w:tcMar>
            <w:top w:w="0" w:type="dxa"/>
            <w:left w:w="0" w:type="dxa"/>
            <w:bottom w:w="0" w:type="dxa"/>
            <w:right w:w="0" w:type="dxa"/>
          </w:tcMar>
        </w:tcPr>
        <w:p w14:paraId="2296313B" w14:textId="77777777" w:rsidR="002E53CB" w:rsidRDefault="00000000">
          <w:pPr>
            <w:jc w:val="right"/>
          </w:pPr>
          <w:r>
            <w:rPr>
              <w:color w:val="5C6470"/>
              <w:sz w:val="16"/>
            </w:rPr>
            <w:t xml:space="preserve">Page </w:t>
          </w:r>
          <w:r>
            <w:fldChar w:fldCharType="begin"/>
          </w:r>
          <w:r>
            <w:instrText>PAGE</w:instrText>
          </w:r>
          <w:r>
            <w:fldChar w:fldCharType="separate"/>
          </w:r>
          <w: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BEF7" w14:textId="77777777" w:rsidR="00AA422B" w:rsidRDefault="00AA422B">
      <w:pPr>
        <w:spacing w:after="0" w:line="240" w:lineRule="auto"/>
      </w:pPr>
      <w:r>
        <w:separator/>
      </w:r>
    </w:p>
  </w:footnote>
  <w:footnote w:type="continuationSeparator" w:id="0">
    <w:p w14:paraId="2E47F5D0" w14:textId="77777777" w:rsidR="00AA422B" w:rsidRDefault="00AA4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D3BD" w14:textId="77777777" w:rsidR="002E53CB" w:rsidRDefault="002E53CB">
    <w:pPr>
      <w:pStyle w:val="En-tte"/>
    </w:pPr>
  </w:p>
  <w:tbl>
    <w:tblPr>
      <w:tblW w:w="0" w:type="auto"/>
      <w:jc w:val="center"/>
      <w:tblBorders>
        <w:top w:val="single" w:sz="0" w:space="0" w:color="FFFFFF"/>
        <w:left w:val="single" w:sz="0" w:space="0" w:color="FFFFFF"/>
        <w:bottom w:val="single" w:sz="0" w:space="0" w:color="FFFFFF"/>
        <w:right w:val="single" w:sz="0" w:space="0" w:color="FFFFFF"/>
      </w:tblBorders>
      <w:tblLayout w:type="fixed"/>
      <w:tblLook w:val="04A0" w:firstRow="1" w:lastRow="0" w:firstColumn="1" w:lastColumn="0" w:noHBand="0" w:noVBand="1"/>
    </w:tblPr>
    <w:tblGrid>
      <w:gridCol w:w="5046"/>
      <w:gridCol w:w="5019"/>
    </w:tblGrid>
    <w:tr w:rsidR="002E53CB" w:rsidRPr="004812B4" w14:paraId="49726371" w14:textId="77777777" w:rsidTr="00B70EA3">
      <w:trPr>
        <w:jc w:val="center"/>
      </w:trPr>
      <w:tc>
        <w:tcPr>
          <w:tcW w:w="5046" w:type="dxa"/>
          <w:tcMar>
            <w:top w:w="0" w:type="dxa"/>
            <w:left w:w="0" w:type="dxa"/>
            <w:bottom w:w="0" w:type="dxa"/>
            <w:right w:w="0" w:type="dxa"/>
          </w:tcMar>
        </w:tcPr>
        <w:p w14:paraId="4FADA68B" w14:textId="77777777" w:rsidR="002E53CB" w:rsidRDefault="00000000">
          <w:r>
            <w:rPr>
              <w:noProof/>
            </w:rPr>
            <w:drawing>
              <wp:inline distT="0" distB="0" distL="0" distR="0" wp14:anchorId="437AD89B" wp14:editId="5AD49A88">
                <wp:extent cx="1278000" cy="625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1_0.png"/>
                        <pic:cNvPicPr/>
                      </pic:nvPicPr>
                      <pic:blipFill>
                        <a:blip r:embed="rId1"/>
                        <a:stretch>
                          <a:fillRect/>
                        </a:stretch>
                      </pic:blipFill>
                      <pic:spPr>
                        <a:xfrm>
                          <a:off x="0" y="0"/>
                          <a:ext cx="1278000" cy="625632"/>
                        </a:xfrm>
                        <a:prstGeom prst="rect">
                          <a:avLst/>
                        </a:prstGeom>
                      </pic:spPr>
                    </pic:pic>
                  </a:graphicData>
                </a:graphic>
              </wp:inline>
            </w:drawing>
          </w:r>
        </w:p>
      </w:tc>
      <w:tc>
        <w:tcPr>
          <w:tcW w:w="5019" w:type="dxa"/>
          <w:tcMar>
            <w:top w:w="0" w:type="dxa"/>
            <w:left w:w="0" w:type="dxa"/>
            <w:bottom w:w="0" w:type="dxa"/>
            <w:right w:w="0" w:type="dxa"/>
          </w:tcMar>
        </w:tcPr>
        <w:p w14:paraId="53DAF4C4" w14:textId="07AC8D8E" w:rsidR="002E53CB" w:rsidRPr="000A3731" w:rsidRDefault="00B70EA3">
          <w:pPr>
            <w:spacing w:after="20"/>
            <w:jc w:val="right"/>
            <w:rPr>
              <w:lang w:val="fr-FR"/>
            </w:rPr>
          </w:pPr>
          <w:r>
            <w:rPr>
              <w:b/>
              <w:color w:val="2F2A78"/>
              <w:sz w:val="18"/>
              <w:lang w:val="fr-FR"/>
            </w:rPr>
            <w:t>Filière</w:t>
          </w:r>
          <w:r w:rsidRPr="000A3731">
            <w:rPr>
              <w:b/>
              <w:color w:val="2F2A78"/>
              <w:sz w:val="18"/>
              <w:lang w:val="fr-FR"/>
            </w:rPr>
            <w:t xml:space="preserve"> | Appel à manifestations d’intérêt</w:t>
          </w:r>
        </w:p>
        <w:p w14:paraId="11ECEDFB" w14:textId="6FEE4A16" w:rsidR="002E53CB" w:rsidRPr="000A3731" w:rsidRDefault="00000000" w:rsidP="00B70EA3">
          <w:pPr>
            <w:spacing w:after="0"/>
            <w:jc w:val="right"/>
            <w:rPr>
              <w:lang w:val="fr-FR"/>
            </w:rPr>
          </w:pPr>
          <w:r w:rsidRPr="000A3731">
            <w:rPr>
              <w:color w:val="5C6470"/>
              <w:sz w:val="16"/>
              <w:lang w:val="fr-FR"/>
            </w:rPr>
            <w:t xml:space="preserve">Doctorat CIFRE 2026 - version </w:t>
          </w:r>
          <w:r w:rsidR="00A02544">
            <w:rPr>
              <w:color w:val="5C6470"/>
              <w:sz w:val="16"/>
              <w:lang w:val="fr-FR"/>
            </w:rPr>
            <w:t>finale</w:t>
          </w:r>
        </w:p>
      </w:tc>
    </w:tr>
  </w:tbl>
  <w:p w14:paraId="445DB4CD" w14:textId="77777777" w:rsidR="002E53CB" w:rsidRPr="000A3731" w:rsidRDefault="002E53CB">
    <w:pPr>
      <w:pBdr>
        <w:bottom w:val="single" w:sz="8" w:space="1" w:color="D67D87"/>
      </w:pBdr>
      <w:spacing w:before="20" w:after="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2515EF2"/>
    <w:multiLevelType w:val="hybridMultilevel"/>
    <w:tmpl w:val="6874B1AA"/>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10" w15:restartNumberingAfterBreak="0">
    <w:nsid w:val="2C5153BA"/>
    <w:multiLevelType w:val="hybridMultilevel"/>
    <w:tmpl w:val="B92E9304"/>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num w:numId="1" w16cid:durableId="199443242">
    <w:abstractNumId w:val="8"/>
  </w:num>
  <w:num w:numId="2" w16cid:durableId="1936355622">
    <w:abstractNumId w:val="6"/>
  </w:num>
  <w:num w:numId="3" w16cid:durableId="1360080086">
    <w:abstractNumId w:val="5"/>
  </w:num>
  <w:num w:numId="4" w16cid:durableId="1957057066">
    <w:abstractNumId w:val="4"/>
  </w:num>
  <w:num w:numId="5" w16cid:durableId="13187703">
    <w:abstractNumId w:val="7"/>
  </w:num>
  <w:num w:numId="6" w16cid:durableId="274681032">
    <w:abstractNumId w:val="3"/>
  </w:num>
  <w:num w:numId="7" w16cid:durableId="1557006404">
    <w:abstractNumId w:val="2"/>
  </w:num>
  <w:num w:numId="8" w16cid:durableId="1231384637">
    <w:abstractNumId w:val="1"/>
  </w:num>
  <w:num w:numId="9" w16cid:durableId="381101525">
    <w:abstractNumId w:val="0"/>
  </w:num>
  <w:num w:numId="10" w16cid:durableId="1222325555">
    <w:abstractNumId w:val="9"/>
  </w:num>
  <w:num w:numId="11" w16cid:durableId="1052461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632"/>
    <w:rsid w:val="00030162"/>
    <w:rsid w:val="00034616"/>
    <w:rsid w:val="0006063C"/>
    <w:rsid w:val="00085D77"/>
    <w:rsid w:val="000A3731"/>
    <w:rsid w:val="001100EB"/>
    <w:rsid w:val="0015074B"/>
    <w:rsid w:val="00160BA2"/>
    <w:rsid w:val="0029639D"/>
    <w:rsid w:val="002D5B2F"/>
    <w:rsid w:val="002E53CB"/>
    <w:rsid w:val="00326F90"/>
    <w:rsid w:val="003C7C89"/>
    <w:rsid w:val="004812B4"/>
    <w:rsid w:val="00495C39"/>
    <w:rsid w:val="0056477B"/>
    <w:rsid w:val="00783CCB"/>
    <w:rsid w:val="00807C03"/>
    <w:rsid w:val="009179BF"/>
    <w:rsid w:val="00A02544"/>
    <w:rsid w:val="00A04671"/>
    <w:rsid w:val="00A9596B"/>
    <w:rsid w:val="00AA1D8D"/>
    <w:rsid w:val="00AA422B"/>
    <w:rsid w:val="00B47730"/>
    <w:rsid w:val="00B70EA3"/>
    <w:rsid w:val="00CB0664"/>
    <w:rsid w:val="00D73470"/>
    <w:rsid w:val="00E0480D"/>
    <w:rsid w:val="00F05C73"/>
    <w:rsid w:val="00FB1D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80FB8"/>
  <w14:defaultImageDpi w14:val="300"/>
  <w15:docId w15:val="{8C0FA3D6-71CE-4CDA-8AC8-9AB70CB6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4" w:lineRule="auto"/>
    </w:pPr>
    <w:rPr>
      <w:rFonts w:ascii="Calibri" w:eastAsia="Calibri" w:hAnsi="Calibri"/>
      <w:color w:val="222222"/>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010632"/>
    <w:rPr>
      <w:color w:val="0000FF" w:themeColor="hyperlink"/>
      <w:u w:val="single"/>
    </w:rPr>
  </w:style>
  <w:style w:type="character" w:styleId="Mentionnonrsolue">
    <w:name w:val="Unresolved Mention"/>
    <w:basedOn w:val="Policepardfaut"/>
    <w:uiPriority w:val="99"/>
    <w:semiHidden/>
    <w:unhideWhenUsed/>
    <w:rsid w:val="0001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iere-ia.fr/portfolio/projet-dan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2060</Words>
  <Characters>11331</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marco.fiorini@filiere-ia.fr</dc:creator>
  <cp:keywords/>
  <dc:description>generated by python-docx</dc:description>
  <cp:lastModifiedBy>FIORINI Marco</cp:lastModifiedBy>
  <cp:revision>4</cp:revision>
  <dcterms:created xsi:type="dcterms:W3CDTF">2026-06-03T13:46:00Z</dcterms:created>
  <dcterms:modified xsi:type="dcterms:W3CDTF">2026-06-03T13:52:00Z</dcterms:modified>
  <cp:category/>
</cp:coreProperties>
</file>